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tblInd w:w="-455" w:type="dxa"/>
        <w:tblLook w:val="04A0" w:firstRow="1" w:lastRow="0" w:firstColumn="1" w:lastColumn="0" w:noHBand="0" w:noVBand="1"/>
      </w:tblPr>
      <w:tblGrid>
        <w:gridCol w:w="1831"/>
        <w:gridCol w:w="9149"/>
      </w:tblGrid>
      <w:tr w:rsidR="008D0217" w:rsidRPr="000E5646" w14:paraId="1D30671C" w14:textId="77777777" w:rsidTr="000E5646">
        <w:tc>
          <w:tcPr>
            <w:tcW w:w="10980" w:type="dxa"/>
            <w:gridSpan w:val="2"/>
          </w:tcPr>
          <w:p w14:paraId="41BD7B4F" w14:textId="3F23373F" w:rsidR="008D0217" w:rsidRPr="000E5646" w:rsidRDefault="008D0217" w:rsidP="000B1133">
            <w:pPr>
              <w:rPr>
                <w:color w:val="002060"/>
                <w:sz w:val="24"/>
                <w:szCs w:val="24"/>
              </w:rPr>
            </w:pPr>
            <w:r w:rsidRPr="000E5646">
              <w:rPr>
                <w:color w:val="002060"/>
                <w:sz w:val="24"/>
                <w:szCs w:val="24"/>
              </w:rPr>
              <w:t xml:space="preserve">The process below is applicable for GIS </w:t>
            </w:r>
            <w:r w:rsidR="0069761B">
              <w:rPr>
                <w:color w:val="002060"/>
                <w:sz w:val="24"/>
                <w:szCs w:val="24"/>
              </w:rPr>
              <w:t xml:space="preserve">Benefits </w:t>
            </w:r>
            <w:r w:rsidRPr="000E5646">
              <w:rPr>
                <w:color w:val="002060"/>
                <w:sz w:val="24"/>
                <w:szCs w:val="24"/>
              </w:rPr>
              <w:t xml:space="preserve">business when </w:t>
            </w:r>
            <w:r w:rsidR="006B4E50" w:rsidRPr="000E5646">
              <w:rPr>
                <w:color w:val="002060"/>
                <w:sz w:val="24"/>
                <w:szCs w:val="24"/>
              </w:rPr>
              <w:t xml:space="preserve">using a TPE:  </w:t>
            </w:r>
            <w:r w:rsidR="006B4E50" w:rsidRPr="000E5646">
              <w:rPr>
                <w:b/>
                <w:bCs/>
                <w:color w:val="002060"/>
                <w:sz w:val="24"/>
                <w:szCs w:val="24"/>
              </w:rPr>
              <w:t>Ease or EE Navigator</w:t>
            </w:r>
            <w:r w:rsidRPr="000E5646">
              <w:rPr>
                <w:color w:val="002060"/>
                <w:sz w:val="24"/>
                <w:szCs w:val="24"/>
              </w:rPr>
              <w:t xml:space="preserve"> </w:t>
            </w:r>
          </w:p>
        </w:tc>
      </w:tr>
      <w:tr w:rsidR="008D0217" w:rsidRPr="000E5646" w14:paraId="505A2648" w14:textId="77777777" w:rsidTr="000E5646">
        <w:tc>
          <w:tcPr>
            <w:tcW w:w="10980" w:type="dxa"/>
            <w:gridSpan w:val="2"/>
          </w:tcPr>
          <w:p w14:paraId="11BB0FCF" w14:textId="631C56FF" w:rsidR="008D0217" w:rsidRPr="000E5646" w:rsidRDefault="008D0217" w:rsidP="000B1133">
            <w:pPr>
              <w:rPr>
                <w:b/>
                <w:bCs/>
                <w:color w:val="002060"/>
                <w:sz w:val="24"/>
                <w:szCs w:val="24"/>
              </w:rPr>
            </w:pPr>
            <w:r w:rsidRPr="000E5646">
              <w:rPr>
                <w:b/>
                <w:bCs/>
                <w:color w:val="002060"/>
                <w:sz w:val="24"/>
                <w:szCs w:val="24"/>
              </w:rPr>
              <w:t xml:space="preserve">MetLife Contacts </w:t>
            </w:r>
          </w:p>
        </w:tc>
      </w:tr>
      <w:tr w:rsidR="008D0217" w:rsidRPr="000E5646" w14:paraId="082FAF62" w14:textId="77777777" w:rsidTr="000E5646">
        <w:trPr>
          <w:trHeight w:val="432"/>
        </w:trPr>
        <w:tc>
          <w:tcPr>
            <w:tcW w:w="1831" w:type="dxa"/>
            <w:shd w:val="clear" w:color="auto" w:fill="F2F2F2" w:themeFill="background1" w:themeFillShade="F2"/>
            <w:vAlign w:val="center"/>
          </w:tcPr>
          <w:p w14:paraId="2D7B66D5" w14:textId="337D2DEC" w:rsidR="008D0217" w:rsidRPr="000E5646" w:rsidRDefault="00853745" w:rsidP="008D0217">
            <w:pPr>
              <w:rPr>
                <w:b/>
                <w:bCs/>
                <w:color w:val="002060"/>
                <w:sz w:val="24"/>
                <w:szCs w:val="24"/>
              </w:rPr>
            </w:pPr>
            <w:r>
              <w:rPr>
                <w:b/>
                <w:bCs/>
                <w:color w:val="002060"/>
                <w:sz w:val="24"/>
                <w:szCs w:val="24"/>
              </w:rPr>
              <w:t xml:space="preserve">Specialty Markets </w:t>
            </w:r>
            <w:r w:rsidR="008D0217" w:rsidRPr="000E5646">
              <w:rPr>
                <w:b/>
                <w:bCs/>
                <w:color w:val="002060"/>
                <w:sz w:val="24"/>
                <w:szCs w:val="24"/>
              </w:rPr>
              <w:t>Sales</w:t>
            </w:r>
          </w:p>
        </w:tc>
        <w:tc>
          <w:tcPr>
            <w:tcW w:w="9149" w:type="dxa"/>
            <w:vAlign w:val="center"/>
          </w:tcPr>
          <w:p w14:paraId="203120BE" w14:textId="77777777" w:rsidR="00853745" w:rsidRPr="00CD4F3B" w:rsidRDefault="00853745" w:rsidP="00853745">
            <w:pPr>
              <w:rPr>
                <w:color w:val="1F497D" w:themeColor="text2"/>
                <w:sz w:val="24"/>
                <w:szCs w:val="24"/>
              </w:rPr>
            </w:pPr>
            <w:r w:rsidRPr="00CD4F3B">
              <w:rPr>
                <w:color w:val="1F497D" w:themeColor="text2"/>
                <w:sz w:val="24"/>
                <w:szCs w:val="24"/>
              </w:rPr>
              <w:t xml:space="preserve">Wendy Reeves </w:t>
            </w:r>
            <w:hyperlink r:id="rId8" w:history="1">
              <w:r w:rsidRPr="00CD4F3B">
                <w:rPr>
                  <w:rStyle w:val="Hyperlink"/>
                  <w:color w:val="1F497D" w:themeColor="text2"/>
                  <w:sz w:val="24"/>
                  <w:szCs w:val="24"/>
                </w:rPr>
                <w:t>wendy.k.reeves@metlife.com</w:t>
              </w:r>
            </w:hyperlink>
            <w:r w:rsidRPr="00CD4F3B">
              <w:rPr>
                <w:color w:val="1F497D" w:themeColor="text2"/>
                <w:sz w:val="24"/>
                <w:szCs w:val="24"/>
              </w:rPr>
              <w:t xml:space="preserve">  816.204.3226  </w:t>
            </w:r>
          </w:p>
          <w:p w14:paraId="1CFD02FD" w14:textId="77777777" w:rsidR="00853745" w:rsidRDefault="00853745" w:rsidP="008D0217">
            <w:pPr>
              <w:rPr>
                <w:rStyle w:val="Hyperlink"/>
                <w:color w:val="1F497D" w:themeColor="text2"/>
                <w:sz w:val="24"/>
                <w:szCs w:val="24"/>
                <w:u w:val="none"/>
              </w:rPr>
            </w:pPr>
            <w:r w:rsidRPr="00CD4F3B">
              <w:rPr>
                <w:rStyle w:val="Hyperlink"/>
                <w:color w:val="1F497D" w:themeColor="text2"/>
                <w:sz w:val="24"/>
                <w:szCs w:val="24"/>
                <w:u w:val="none"/>
              </w:rPr>
              <w:t xml:space="preserve">Angela Higgins </w:t>
            </w:r>
            <w:hyperlink r:id="rId9" w:history="1">
              <w:r w:rsidRPr="00CD4F3B">
                <w:rPr>
                  <w:rStyle w:val="Hyperlink"/>
                  <w:color w:val="1F497D" w:themeColor="text2"/>
                  <w:sz w:val="24"/>
                  <w:szCs w:val="24"/>
                </w:rPr>
                <w:t>ahiggins@metlife.com</w:t>
              </w:r>
            </w:hyperlink>
            <w:r w:rsidRPr="00CD4F3B">
              <w:rPr>
                <w:rStyle w:val="Hyperlink"/>
                <w:color w:val="1F497D" w:themeColor="text2"/>
                <w:sz w:val="24"/>
                <w:szCs w:val="24"/>
                <w:u w:val="none"/>
              </w:rPr>
              <w:t xml:space="preserve">  816.204.3033</w:t>
            </w:r>
          </w:p>
          <w:p w14:paraId="7224C893" w14:textId="214E707A" w:rsidR="005E5B26" w:rsidRPr="00853745" w:rsidRDefault="005E5B26" w:rsidP="008D0217">
            <w:pPr>
              <w:rPr>
                <w:color w:val="1F497D" w:themeColor="text2"/>
                <w:sz w:val="24"/>
                <w:szCs w:val="24"/>
              </w:rPr>
            </w:pPr>
            <w:r w:rsidRPr="005E5B26">
              <w:rPr>
                <w:rStyle w:val="Hyperlink"/>
                <w:color w:val="1F497D" w:themeColor="text2"/>
                <w:u w:val="none"/>
              </w:rPr>
              <w:t>A</w:t>
            </w:r>
            <w:r w:rsidRPr="005E5B26">
              <w:rPr>
                <w:rStyle w:val="Hyperlink"/>
                <w:color w:val="1F497D" w:themeColor="text2"/>
                <w:sz w:val="24"/>
                <w:szCs w:val="24"/>
                <w:u w:val="none"/>
              </w:rPr>
              <w:t>my Day</w:t>
            </w:r>
            <w:r>
              <w:t xml:space="preserve"> </w:t>
            </w:r>
            <w:hyperlink r:id="rId10" w:history="1">
              <w:r w:rsidRPr="005E5B26">
                <w:rPr>
                  <w:rStyle w:val="Hyperlink"/>
                  <w:color w:val="1F497D" w:themeColor="text2"/>
                  <w:sz w:val="24"/>
                  <w:szCs w:val="24"/>
                </w:rPr>
                <w:t>aday@metlife.com</w:t>
              </w:r>
            </w:hyperlink>
            <w:r w:rsidRPr="005E5B26">
              <w:rPr>
                <w:rStyle w:val="Hyperlink"/>
                <w:color w:val="1F497D" w:themeColor="text2"/>
                <w:sz w:val="24"/>
                <w:szCs w:val="24"/>
              </w:rPr>
              <w:t xml:space="preserve"> 816.204.3092</w:t>
            </w:r>
          </w:p>
        </w:tc>
      </w:tr>
      <w:tr w:rsidR="008D0217" w:rsidRPr="000E5646" w14:paraId="3728D105" w14:textId="77777777" w:rsidTr="000E5646">
        <w:trPr>
          <w:trHeight w:val="432"/>
        </w:trPr>
        <w:tc>
          <w:tcPr>
            <w:tcW w:w="1831" w:type="dxa"/>
            <w:shd w:val="clear" w:color="auto" w:fill="F2F2F2" w:themeFill="background1" w:themeFillShade="F2"/>
            <w:vAlign w:val="center"/>
          </w:tcPr>
          <w:p w14:paraId="2867FF5F" w14:textId="0B620D48" w:rsidR="008D0217" w:rsidRPr="000E5646" w:rsidRDefault="008D0217" w:rsidP="008D0217">
            <w:pPr>
              <w:rPr>
                <w:b/>
                <w:bCs/>
                <w:color w:val="002060"/>
                <w:sz w:val="24"/>
                <w:szCs w:val="24"/>
              </w:rPr>
            </w:pPr>
            <w:r w:rsidRPr="000E5646">
              <w:rPr>
                <w:b/>
                <w:bCs/>
                <w:color w:val="002060"/>
                <w:sz w:val="24"/>
                <w:szCs w:val="24"/>
              </w:rPr>
              <w:t>Underwriting</w:t>
            </w:r>
          </w:p>
        </w:tc>
        <w:tc>
          <w:tcPr>
            <w:tcW w:w="9149" w:type="dxa"/>
            <w:vAlign w:val="center"/>
          </w:tcPr>
          <w:p w14:paraId="3772C7C4" w14:textId="09539487" w:rsidR="008D0217" w:rsidRPr="000E5646" w:rsidRDefault="006B4E50" w:rsidP="008D0217">
            <w:pPr>
              <w:rPr>
                <w:color w:val="002060"/>
                <w:sz w:val="24"/>
                <w:szCs w:val="24"/>
              </w:rPr>
            </w:pPr>
            <w:r w:rsidRPr="000E5646">
              <w:rPr>
                <w:color w:val="002060"/>
                <w:sz w:val="24"/>
                <w:szCs w:val="24"/>
              </w:rPr>
              <w:t xml:space="preserve">Craig Cruz 630-820-7483 </w:t>
            </w:r>
            <w:hyperlink r:id="rId11" w:history="1">
              <w:r w:rsidRPr="000E5646">
                <w:rPr>
                  <w:rStyle w:val="Hyperlink"/>
                  <w:color w:val="002060"/>
                  <w:sz w:val="24"/>
                  <w:szCs w:val="24"/>
                </w:rPr>
                <w:t>ccruz1@metlife.com</w:t>
              </w:r>
            </w:hyperlink>
            <w:r w:rsidRPr="000E5646">
              <w:rPr>
                <w:color w:val="002060"/>
                <w:sz w:val="24"/>
                <w:szCs w:val="24"/>
              </w:rPr>
              <w:t xml:space="preserve"> </w:t>
            </w:r>
          </w:p>
          <w:p w14:paraId="38BC9EE7" w14:textId="23979F9E" w:rsidR="005E5B26" w:rsidRPr="000E5646" w:rsidRDefault="005E5B26" w:rsidP="005E5B26">
            <w:pPr>
              <w:rPr>
                <w:color w:val="002060"/>
                <w:sz w:val="24"/>
                <w:szCs w:val="24"/>
              </w:rPr>
            </w:pPr>
            <w:r>
              <w:rPr>
                <w:color w:val="002060"/>
                <w:sz w:val="24"/>
                <w:szCs w:val="24"/>
              </w:rPr>
              <w:t>C</w:t>
            </w:r>
            <w:r w:rsidR="006B4E50" w:rsidRPr="000E5646">
              <w:rPr>
                <w:color w:val="002060"/>
                <w:sz w:val="24"/>
                <w:szCs w:val="24"/>
              </w:rPr>
              <w:t xml:space="preserve">hristina </w:t>
            </w:r>
            <w:proofErr w:type="spellStart"/>
            <w:r w:rsidR="006B4E50" w:rsidRPr="000E5646">
              <w:rPr>
                <w:color w:val="002060"/>
                <w:sz w:val="24"/>
                <w:szCs w:val="24"/>
              </w:rPr>
              <w:t>Mankunas</w:t>
            </w:r>
            <w:proofErr w:type="spellEnd"/>
            <w:r w:rsidR="006B4E50" w:rsidRPr="000E5646">
              <w:rPr>
                <w:color w:val="002060"/>
                <w:sz w:val="24"/>
                <w:szCs w:val="24"/>
              </w:rPr>
              <w:t xml:space="preserve"> 630-978-6162 </w:t>
            </w:r>
            <w:hyperlink r:id="rId12" w:history="1">
              <w:r w:rsidRPr="005E5B26">
                <w:rPr>
                  <w:rStyle w:val="Hyperlink"/>
                  <w:color w:val="002060"/>
                  <w:sz w:val="24"/>
                  <w:szCs w:val="24"/>
                </w:rPr>
                <w:t>cmankunas1@metlife.com</w:t>
              </w:r>
            </w:hyperlink>
            <w:r>
              <w:rPr>
                <w:color w:val="002060"/>
                <w:sz w:val="24"/>
                <w:szCs w:val="24"/>
              </w:rPr>
              <w:t xml:space="preserve"> </w:t>
            </w:r>
          </w:p>
        </w:tc>
      </w:tr>
      <w:tr w:rsidR="008D0217" w:rsidRPr="000E5646" w14:paraId="0571DDEC" w14:textId="77777777" w:rsidTr="000E5646">
        <w:trPr>
          <w:trHeight w:val="432"/>
        </w:trPr>
        <w:tc>
          <w:tcPr>
            <w:tcW w:w="1831" w:type="dxa"/>
            <w:shd w:val="clear" w:color="auto" w:fill="F2F2F2" w:themeFill="background1" w:themeFillShade="F2"/>
            <w:vAlign w:val="center"/>
          </w:tcPr>
          <w:p w14:paraId="33E78323" w14:textId="043DEE17" w:rsidR="008D0217" w:rsidRPr="000E5646" w:rsidRDefault="008D0217" w:rsidP="008D0217">
            <w:pPr>
              <w:rPr>
                <w:b/>
                <w:bCs/>
                <w:color w:val="002060"/>
                <w:sz w:val="24"/>
                <w:szCs w:val="24"/>
              </w:rPr>
            </w:pPr>
            <w:r w:rsidRPr="000E5646">
              <w:rPr>
                <w:b/>
                <w:bCs/>
                <w:color w:val="002060"/>
                <w:sz w:val="24"/>
                <w:szCs w:val="24"/>
              </w:rPr>
              <w:t>Implementation</w:t>
            </w:r>
          </w:p>
        </w:tc>
        <w:tc>
          <w:tcPr>
            <w:tcW w:w="9149" w:type="dxa"/>
            <w:vAlign w:val="center"/>
          </w:tcPr>
          <w:p w14:paraId="539E92C8" w14:textId="0002D110" w:rsidR="008D0217" w:rsidRPr="000E5646" w:rsidRDefault="002273A3" w:rsidP="008D0217">
            <w:pPr>
              <w:rPr>
                <w:color w:val="002060"/>
                <w:sz w:val="24"/>
                <w:szCs w:val="24"/>
                <w:u w:val="single"/>
              </w:rPr>
            </w:pPr>
            <w:r w:rsidRPr="000E5646">
              <w:rPr>
                <w:color w:val="002060"/>
                <w:sz w:val="24"/>
                <w:szCs w:val="24"/>
              </w:rPr>
              <w:t>J</w:t>
            </w:r>
            <w:r>
              <w:rPr>
                <w:color w:val="002060"/>
                <w:sz w:val="24"/>
                <w:szCs w:val="24"/>
              </w:rPr>
              <w:t>acob Gott</w:t>
            </w:r>
            <w:r w:rsidRPr="000E5646">
              <w:rPr>
                <w:color w:val="002060"/>
                <w:sz w:val="24"/>
                <w:szCs w:val="24"/>
              </w:rPr>
              <w:t xml:space="preserve"> 813-</w:t>
            </w:r>
            <w:r>
              <w:rPr>
                <w:color w:val="002060"/>
                <w:sz w:val="24"/>
                <w:szCs w:val="24"/>
              </w:rPr>
              <w:t>428</w:t>
            </w:r>
            <w:r w:rsidRPr="000E5646">
              <w:rPr>
                <w:color w:val="002060"/>
                <w:sz w:val="24"/>
                <w:szCs w:val="24"/>
              </w:rPr>
              <w:t>-</w:t>
            </w:r>
            <w:r>
              <w:rPr>
                <w:color w:val="002060"/>
                <w:sz w:val="24"/>
                <w:szCs w:val="24"/>
              </w:rPr>
              <w:t>3762</w:t>
            </w:r>
            <w:r w:rsidRPr="000E5646">
              <w:rPr>
                <w:color w:val="002060"/>
                <w:sz w:val="24"/>
                <w:szCs w:val="24"/>
              </w:rPr>
              <w:t xml:space="preserve"> </w:t>
            </w:r>
            <w:hyperlink r:id="rId13" w:history="1">
              <w:r w:rsidR="005E5B26" w:rsidRPr="005E5B26">
                <w:rPr>
                  <w:rStyle w:val="Hyperlink"/>
                  <w:color w:val="002060"/>
                  <w:sz w:val="24"/>
                  <w:szCs w:val="24"/>
                </w:rPr>
                <w:t>jacob.gott1@metlife.com</w:t>
              </w:r>
            </w:hyperlink>
          </w:p>
        </w:tc>
      </w:tr>
      <w:tr w:rsidR="00605A25" w:rsidRPr="000E5646" w14:paraId="106A471C" w14:textId="77777777" w:rsidTr="000E5646">
        <w:trPr>
          <w:trHeight w:val="432"/>
        </w:trPr>
        <w:tc>
          <w:tcPr>
            <w:tcW w:w="1831" w:type="dxa"/>
            <w:shd w:val="clear" w:color="auto" w:fill="F2F2F2" w:themeFill="background1" w:themeFillShade="F2"/>
            <w:vAlign w:val="center"/>
          </w:tcPr>
          <w:p w14:paraId="147065D8" w14:textId="6DEE8693" w:rsidR="00605A25" w:rsidRPr="000E5646" w:rsidRDefault="00404E2C" w:rsidP="008D0217">
            <w:pPr>
              <w:rPr>
                <w:b/>
                <w:bCs/>
                <w:color w:val="002060"/>
                <w:sz w:val="24"/>
                <w:szCs w:val="24"/>
              </w:rPr>
            </w:pPr>
            <w:r w:rsidRPr="000E5646">
              <w:rPr>
                <w:b/>
                <w:bCs/>
                <w:color w:val="002060"/>
                <w:sz w:val="24"/>
                <w:szCs w:val="24"/>
              </w:rPr>
              <w:t>Service</w:t>
            </w:r>
          </w:p>
        </w:tc>
        <w:tc>
          <w:tcPr>
            <w:tcW w:w="9149" w:type="dxa"/>
            <w:vAlign w:val="center"/>
          </w:tcPr>
          <w:p w14:paraId="74286C92" w14:textId="586A783C" w:rsidR="00422963" w:rsidRPr="000E5646" w:rsidRDefault="00422963" w:rsidP="00422963">
            <w:pPr>
              <w:spacing w:line="276" w:lineRule="auto"/>
              <w:contextualSpacing/>
              <w:rPr>
                <w:color w:val="002060"/>
                <w:sz w:val="24"/>
                <w:szCs w:val="24"/>
              </w:rPr>
            </w:pPr>
            <w:r w:rsidRPr="000E5646">
              <w:rPr>
                <w:color w:val="002060"/>
                <w:sz w:val="24"/>
                <w:szCs w:val="24"/>
              </w:rPr>
              <w:t>Groups under 100 lives – Small Market</w:t>
            </w:r>
            <w:r w:rsidR="003F11A1" w:rsidRPr="000E5646">
              <w:rPr>
                <w:color w:val="002060"/>
                <w:sz w:val="24"/>
                <w:szCs w:val="24"/>
              </w:rPr>
              <w:t xml:space="preserve"> team</w:t>
            </w:r>
          </w:p>
          <w:p w14:paraId="36FFDA66" w14:textId="5D72AE9E" w:rsidR="00605A25" w:rsidRPr="000E5646" w:rsidRDefault="00422963" w:rsidP="00422963">
            <w:pPr>
              <w:rPr>
                <w:color w:val="002060"/>
                <w:sz w:val="24"/>
                <w:szCs w:val="24"/>
              </w:rPr>
            </w:pPr>
            <w:r w:rsidRPr="000E5646">
              <w:rPr>
                <w:color w:val="002060"/>
                <w:sz w:val="24"/>
                <w:szCs w:val="24"/>
              </w:rPr>
              <w:t>Groups over 100 lives – Regional Market teams</w:t>
            </w:r>
          </w:p>
        </w:tc>
      </w:tr>
    </w:tbl>
    <w:p w14:paraId="6E675E11" w14:textId="77777777" w:rsidR="008D0217" w:rsidRDefault="008D0217" w:rsidP="000B1133">
      <w:pPr>
        <w:rPr>
          <w:b/>
          <w:bCs/>
          <w:color w:val="002060"/>
          <w:u w:val="single"/>
        </w:rPr>
      </w:pPr>
    </w:p>
    <w:tbl>
      <w:tblPr>
        <w:tblStyle w:val="TableGrid"/>
        <w:tblW w:w="10980" w:type="dxa"/>
        <w:tblInd w:w="-455" w:type="dxa"/>
        <w:tblLook w:val="04A0" w:firstRow="1" w:lastRow="0" w:firstColumn="1" w:lastColumn="0" w:noHBand="0" w:noVBand="1"/>
      </w:tblPr>
      <w:tblGrid>
        <w:gridCol w:w="1831"/>
        <w:gridCol w:w="9149"/>
      </w:tblGrid>
      <w:tr w:rsidR="003E65C0" w:rsidRPr="000E5646" w14:paraId="519A59F8" w14:textId="77777777" w:rsidTr="000E5646">
        <w:tc>
          <w:tcPr>
            <w:tcW w:w="1831" w:type="dxa"/>
            <w:shd w:val="clear" w:color="auto" w:fill="F2F2F2" w:themeFill="background1" w:themeFillShade="F2"/>
            <w:vAlign w:val="center"/>
          </w:tcPr>
          <w:p w14:paraId="0A1B4140" w14:textId="454CBD56" w:rsidR="008D0217" w:rsidRPr="000E5646" w:rsidRDefault="002E4C80" w:rsidP="000E2393">
            <w:pPr>
              <w:rPr>
                <w:b/>
                <w:bCs/>
                <w:color w:val="002060"/>
                <w:sz w:val="24"/>
                <w:szCs w:val="24"/>
                <w:u w:val="single"/>
              </w:rPr>
            </w:pPr>
            <w:r>
              <w:rPr>
                <w:b/>
                <w:bCs/>
                <w:color w:val="002060"/>
                <w:sz w:val="24"/>
                <w:szCs w:val="24"/>
              </w:rPr>
              <w:t>GIS Quote</w:t>
            </w:r>
          </w:p>
        </w:tc>
        <w:tc>
          <w:tcPr>
            <w:tcW w:w="9149" w:type="dxa"/>
          </w:tcPr>
          <w:p w14:paraId="0BBCD188" w14:textId="289FE5FA" w:rsidR="006B4E50" w:rsidRPr="000E5646" w:rsidRDefault="006B4E50" w:rsidP="00E0291B">
            <w:pPr>
              <w:pStyle w:val="ListParagraph"/>
              <w:numPr>
                <w:ilvl w:val="0"/>
                <w:numId w:val="11"/>
              </w:numPr>
              <w:spacing w:line="276" w:lineRule="auto"/>
              <w:ind w:left="268" w:hanging="180"/>
              <w:contextualSpacing/>
              <w:rPr>
                <w:color w:val="002060"/>
                <w:sz w:val="24"/>
                <w:szCs w:val="24"/>
              </w:rPr>
            </w:pPr>
            <w:r w:rsidRPr="000E5646">
              <w:rPr>
                <w:color w:val="002060"/>
                <w:sz w:val="24"/>
                <w:szCs w:val="24"/>
              </w:rPr>
              <w:t xml:space="preserve">GIS </w:t>
            </w:r>
            <w:r w:rsidR="0069761B">
              <w:rPr>
                <w:color w:val="002060"/>
                <w:sz w:val="24"/>
                <w:szCs w:val="24"/>
              </w:rPr>
              <w:t xml:space="preserve">Benefits </w:t>
            </w:r>
            <w:r w:rsidR="002273A3">
              <w:rPr>
                <w:color w:val="002060"/>
                <w:sz w:val="24"/>
                <w:szCs w:val="24"/>
              </w:rPr>
              <w:t>works</w:t>
            </w:r>
            <w:r w:rsidRPr="000E5646">
              <w:rPr>
                <w:color w:val="002060"/>
                <w:sz w:val="24"/>
                <w:szCs w:val="24"/>
              </w:rPr>
              <w:t xml:space="preserve"> with Ease</w:t>
            </w:r>
            <w:r w:rsidR="002273A3">
              <w:rPr>
                <w:color w:val="002060"/>
                <w:sz w:val="24"/>
                <w:szCs w:val="24"/>
              </w:rPr>
              <w:t xml:space="preserve">, </w:t>
            </w:r>
            <w:r w:rsidRPr="000E5646">
              <w:rPr>
                <w:color w:val="002060"/>
                <w:sz w:val="24"/>
                <w:szCs w:val="24"/>
              </w:rPr>
              <w:t xml:space="preserve">EE </w:t>
            </w:r>
            <w:proofErr w:type="gramStart"/>
            <w:r w:rsidRPr="000E5646">
              <w:rPr>
                <w:color w:val="002060"/>
                <w:sz w:val="24"/>
                <w:szCs w:val="24"/>
              </w:rPr>
              <w:t>Navigator</w:t>
            </w:r>
            <w:proofErr w:type="gramEnd"/>
            <w:r w:rsidR="002273A3">
              <w:rPr>
                <w:color w:val="002060"/>
                <w:sz w:val="24"/>
                <w:szCs w:val="24"/>
              </w:rPr>
              <w:t xml:space="preserve"> and others</w:t>
            </w:r>
            <w:r w:rsidRPr="000E5646">
              <w:rPr>
                <w:color w:val="002060"/>
                <w:sz w:val="24"/>
                <w:szCs w:val="24"/>
              </w:rPr>
              <w:t xml:space="preserve"> </w:t>
            </w:r>
          </w:p>
          <w:p w14:paraId="6C9E026D" w14:textId="194672D4" w:rsidR="006B4E50" w:rsidRPr="000E5646" w:rsidRDefault="006B4E50" w:rsidP="00E0291B">
            <w:pPr>
              <w:pStyle w:val="ListParagraph"/>
              <w:numPr>
                <w:ilvl w:val="0"/>
                <w:numId w:val="11"/>
              </w:numPr>
              <w:spacing w:line="276" w:lineRule="auto"/>
              <w:ind w:left="268" w:hanging="180"/>
              <w:contextualSpacing/>
              <w:rPr>
                <w:color w:val="002060"/>
                <w:sz w:val="24"/>
                <w:szCs w:val="24"/>
              </w:rPr>
            </w:pPr>
            <w:r w:rsidRPr="000E5646">
              <w:rPr>
                <w:color w:val="002060"/>
                <w:sz w:val="24"/>
                <w:szCs w:val="24"/>
              </w:rPr>
              <w:t xml:space="preserve">GIS </w:t>
            </w:r>
            <w:r w:rsidR="0069761B">
              <w:rPr>
                <w:color w:val="002060"/>
                <w:sz w:val="24"/>
                <w:szCs w:val="24"/>
              </w:rPr>
              <w:t xml:space="preserve">Benefits </w:t>
            </w:r>
            <w:r w:rsidR="003B62FF">
              <w:rPr>
                <w:color w:val="002060"/>
                <w:sz w:val="24"/>
                <w:szCs w:val="24"/>
              </w:rPr>
              <w:t>completes</w:t>
            </w:r>
            <w:r w:rsidRPr="000E5646">
              <w:rPr>
                <w:color w:val="002060"/>
                <w:sz w:val="24"/>
                <w:szCs w:val="24"/>
              </w:rPr>
              <w:t xml:space="preserve"> the build on the Ease and EE Navigator systems for these groups</w:t>
            </w:r>
          </w:p>
          <w:p w14:paraId="04CFF893" w14:textId="77777777" w:rsidR="006B4E50" w:rsidRPr="000E5646" w:rsidRDefault="006B4E50" w:rsidP="00E0291B">
            <w:pPr>
              <w:pStyle w:val="ListParagraph"/>
              <w:numPr>
                <w:ilvl w:val="0"/>
                <w:numId w:val="11"/>
              </w:numPr>
              <w:spacing w:line="276" w:lineRule="auto"/>
              <w:ind w:left="268" w:hanging="180"/>
              <w:contextualSpacing/>
              <w:rPr>
                <w:color w:val="002060"/>
                <w:sz w:val="24"/>
                <w:szCs w:val="24"/>
              </w:rPr>
            </w:pPr>
            <w:r w:rsidRPr="000E5646">
              <w:rPr>
                <w:color w:val="002060"/>
                <w:sz w:val="24"/>
                <w:szCs w:val="24"/>
              </w:rPr>
              <w:t>Boon Chapman will not be the TPA on these groups</w:t>
            </w:r>
          </w:p>
          <w:p w14:paraId="397FE550" w14:textId="77777777" w:rsidR="006B4E50" w:rsidRPr="000E5646" w:rsidRDefault="006B4E50" w:rsidP="00BF22B7">
            <w:pPr>
              <w:pStyle w:val="ListParagraph"/>
              <w:numPr>
                <w:ilvl w:val="1"/>
                <w:numId w:val="11"/>
              </w:numPr>
              <w:spacing w:line="276" w:lineRule="auto"/>
              <w:ind w:left="808" w:hanging="180"/>
              <w:contextualSpacing/>
              <w:rPr>
                <w:color w:val="002060"/>
                <w:sz w:val="24"/>
                <w:szCs w:val="24"/>
              </w:rPr>
            </w:pPr>
            <w:r w:rsidRPr="000E5646">
              <w:rPr>
                <w:color w:val="002060"/>
                <w:sz w:val="24"/>
                <w:szCs w:val="24"/>
              </w:rPr>
              <w:t xml:space="preserve">We </w:t>
            </w:r>
            <w:r w:rsidRPr="000E5646">
              <w:rPr>
                <w:b/>
                <w:bCs/>
                <w:color w:val="002060"/>
                <w:sz w:val="24"/>
                <w:szCs w:val="24"/>
                <w:u w:val="single"/>
              </w:rPr>
              <w:t>cannot pay</w:t>
            </w:r>
            <w:r w:rsidRPr="000E5646">
              <w:rPr>
                <w:color w:val="002060"/>
                <w:sz w:val="24"/>
                <w:szCs w:val="24"/>
              </w:rPr>
              <w:t xml:space="preserve"> Ease or EE Navigator </w:t>
            </w:r>
            <w:r w:rsidRPr="000E5646">
              <w:rPr>
                <w:b/>
                <w:bCs/>
                <w:color w:val="002060"/>
                <w:sz w:val="24"/>
                <w:szCs w:val="24"/>
                <w:u w:val="single"/>
              </w:rPr>
              <w:t>and</w:t>
            </w:r>
            <w:r w:rsidRPr="000E5646">
              <w:rPr>
                <w:color w:val="002060"/>
                <w:sz w:val="24"/>
                <w:szCs w:val="24"/>
              </w:rPr>
              <w:t xml:space="preserve"> Boon Chapman</w:t>
            </w:r>
          </w:p>
          <w:p w14:paraId="42B9D408" w14:textId="47B09660" w:rsidR="006B4E50" w:rsidRPr="000E5646" w:rsidRDefault="006B4E50" w:rsidP="00E0291B">
            <w:pPr>
              <w:pStyle w:val="ListParagraph"/>
              <w:numPr>
                <w:ilvl w:val="0"/>
                <w:numId w:val="11"/>
              </w:numPr>
              <w:spacing w:line="276" w:lineRule="auto"/>
              <w:ind w:left="268" w:hanging="180"/>
              <w:contextualSpacing/>
              <w:rPr>
                <w:color w:val="002060"/>
                <w:sz w:val="24"/>
                <w:szCs w:val="24"/>
              </w:rPr>
            </w:pPr>
            <w:r w:rsidRPr="000E5646">
              <w:rPr>
                <w:color w:val="002060"/>
                <w:sz w:val="24"/>
                <w:szCs w:val="24"/>
              </w:rPr>
              <w:t xml:space="preserve">Compensation for </w:t>
            </w:r>
            <w:r w:rsidR="004F3CB2">
              <w:rPr>
                <w:color w:val="002060"/>
                <w:sz w:val="24"/>
                <w:szCs w:val="24"/>
              </w:rPr>
              <w:t xml:space="preserve">use of </w:t>
            </w:r>
            <w:r w:rsidRPr="000E5646">
              <w:rPr>
                <w:color w:val="002060"/>
                <w:sz w:val="24"/>
                <w:szCs w:val="24"/>
              </w:rPr>
              <w:t>Ease</w:t>
            </w:r>
            <w:r w:rsidR="004F3CB2">
              <w:rPr>
                <w:color w:val="002060"/>
                <w:sz w:val="24"/>
                <w:szCs w:val="24"/>
              </w:rPr>
              <w:t xml:space="preserve"> software</w:t>
            </w:r>
            <w:r w:rsidRPr="000E5646">
              <w:rPr>
                <w:color w:val="002060"/>
                <w:sz w:val="24"/>
                <w:szCs w:val="24"/>
              </w:rPr>
              <w:t xml:space="preserve"> will be paid to Ease </w:t>
            </w:r>
            <w:r w:rsidR="004F3CB2">
              <w:rPr>
                <w:color w:val="002060"/>
                <w:sz w:val="24"/>
                <w:szCs w:val="24"/>
              </w:rPr>
              <w:t xml:space="preserve">for completing the build and providing ongoing platform services using Ease </w:t>
            </w:r>
            <w:r w:rsidRPr="000E5646">
              <w:rPr>
                <w:color w:val="002060"/>
                <w:sz w:val="24"/>
                <w:szCs w:val="24"/>
              </w:rPr>
              <w:t>in the amount of 2%</w:t>
            </w:r>
          </w:p>
          <w:p w14:paraId="6E08202E" w14:textId="7B8B3936" w:rsidR="006B4E50" w:rsidRPr="000E5646" w:rsidRDefault="006B4E50" w:rsidP="00E0291B">
            <w:pPr>
              <w:pStyle w:val="ListParagraph"/>
              <w:numPr>
                <w:ilvl w:val="0"/>
                <w:numId w:val="11"/>
              </w:numPr>
              <w:spacing w:line="276" w:lineRule="auto"/>
              <w:ind w:left="268" w:hanging="180"/>
              <w:contextualSpacing/>
              <w:rPr>
                <w:b/>
                <w:i/>
                <w:color w:val="002060"/>
                <w:sz w:val="24"/>
                <w:szCs w:val="24"/>
                <w:u w:val="single"/>
              </w:rPr>
            </w:pPr>
            <w:r w:rsidRPr="000E5646">
              <w:rPr>
                <w:color w:val="002060"/>
                <w:sz w:val="24"/>
                <w:szCs w:val="24"/>
              </w:rPr>
              <w:t>Compensation for</w:t>
            </w:r>
            <w:r w:rsidR="004F3CB2">
              <w:rPr>
                <w:color w:val="002060"/>
                <w:sz w:val="24"/>
                <w:szCs w:val="24"/>
              </w:rPr>
              <w:t xml:space="preserve"> use of </w:t>
            </w:r>
            <w:r w:rsidRPr="000E5646">
              <w:rPr>
                <w:color w:val="002060"/>
                <w:sz w:val="24"/>
                <w:szCs w:val="24"/>
              </w:rPr>
              <w:t>EE Navigator</w:t>
            </w:r>
            <w:r w:rsidR="004F3CB2">
              <w:rPr>
                <w:color w:val="002060"/>
                <w:sz w:val="24"/>
                <w:szCs w:val="24"/>
              </w:rPr>
              <w:t xml:space="preserve"> software </w:t>
            </w:r>
            <w:r w:rsidRPr="000E5646">
              <w:rPr>
                <w:color w:val="002060"/>
                <w:sz w:val="24"/>
                <w:szCs w:val="24"/>
              </w:rPr>
              <w:t xml:space="preserve">will be paid to GIS </w:t>
            </w:r>
            <w:r w:rsidR="0069761B">
              <w:rPr>
                <w:color w:val="002060"/>
                <w:sz w:val="24"/>
                <w:szCs w:val="24"/>
              </w:rPr>
              <w:t xml:space="preserve">Benefits </w:t>
            </w:r>
            <w:r w:rsidRPr="000E5646">
              <w:rPr>
                <w:color w:val="002060"/>
                <w:sz w:val="24"/>
                <w:szCs w:val="24"/>
              </w:rPr>
              <w:t xml:space="preserve">for completing the build </w:t>
            </w:r>
            <w:r w:rsidR="004F3CB2">
              <w:rPr>
                <w:color w:val="002060"/>
                <w:sz w:val="24"/>
                <w:szCs w:val="24"/>
              </w:rPr>
              <w:t xml:space="preserve">and providing ongoing platform services using </w:t>
            </w:r>
            <w:r w:rsidRPr="000E5646">
              <w:rPr>
                <w:color w:val="002060"/>
                <w:sz w:val="24"/>
                <w:szCs w:val="24"/>
              </w:rPr>
              <w:t>EE Navigator in the amount of 2.</w:t>
            </w:r>
            <w:r w:rsidR="003B62FF">
              <w:rPr>
                <w:color w:val="002060"/>
                <w:sz w:val="24"/>
                <w:szCs w:val="24"/>
              </w:rPr>
              <w:t>5</w:t>
            </w:r>
            <w:r w:rsidRPr="000E5646">
              <w:rPr>
                <w:color w:val="002060"/>
                <w:sz w:val="24"/>
                <w:szCs w:val="24"/>
              </w:rPr>
              <w:t>%</w:t>
            </w:r>
            <w:r w:rsidR="00536A3C" w:rsidRPr="000E5646">
              <w:rPr>
                <w:color w:val="002060"/>
                <w:sz w:val="24"/>
                <w:szCs w:val="24"/>
              </w:rPr>
              <w:t xml:space="preserve">.  </w:t>
            </w:r>
          </w:p>
          <w:p w14:paraId="48C7666B" w14:textId="77777777" w:rsidR="006B4E50" w:rsidRPr="000E5646" w:rsidRDefault="006B4E50" w:rsidP="00E0291B">
            <w:pPr>
              <w:pStyle w:val="ListParagraph"/>
              <w:numPr>
                <w:ilvl w:val="0"/>
                <w:numId w:val="11"/>
              </w:numPr>
              <w:spacing w:line="276" w:lineRule="auto"/>
              <w:ind w:left="268" w:hanging="180"/>
              <w:contextualSpacing/>
              <w:rPr>
                <w:color w:val="002060"/>
                <w:sz w:val="24"/>
                <w:szCs w:val="24"/>
              </w:rPr>
            </w:pPr>
            <w:r w:rsidRPr="000E5646">
              <w:rPr>
                <w:color w:val="002060"/>
                <w:sz w:val="24"/>
                <w:szCs w:val="24"/>
              </w:rPr>
              <w:t>Service Fee Agreement will be required on all business signed by the policy holder</w:t>
            </w:r>
          </w:p>
          <w:p w14:paraId="24B0EB51" w14:textId="77777777" w:rsidR="006B4E50" w:rsidRPr="000E5646" w:rsidRDefault="006B4E50" w:rsidP="00E0291B">
            <w:pPr>
              <w:pStyle w:val="ListParagraph"/>
              <w:numPr>
                <w:ilvl w:val="0"/>
                <w:numId w:val="11"/>
              </w:numPr>
              <w:spacing w:line="276" w:lineRule="auto"/>
              <w:ind w:left="268" w:hanging="180"/>
              <w:contextualSpacing/>
              <w:rPr>
                <w:color w:val="002060"/>
                <w:sz w:val="24"/>
                <w:szCs w:val="24"/>
              </w:rPr>
            </w:pPr>
            <w:r w:rsidRPr="000E5646">
              <w:rPr>
                <w:color w:val="002060"/>
                <w:sz w:val="24"/>
                <w:szCs w:val="24"/>
              </w:rPr>
              <w:t>A Non-Standard Commission agreement will be required for all parties in which the service fee is paid</w:t>
            </w:r>
          </w:p>
          <w:p w14:paraId="566DC501" w14:textId="43EF0ACD" w:rsidR="008D0217" w:rsidRPr="00D215DA" w:rsidRDefault="006B4E50" w:rsidP="00BF22B7">
            <w:pPr>
              <w:pStyle w:val="ListParagraph"/>
              <w:numPr>
                <w:ilvl w:val="0"/>
                <w:numId w:val="11"/>
              </w:numPr>
              <w:spacing w:line="276" w:lineRule="auto"/>
              <w:ind w:left="268" w:hanging="180"/>
              <w:contextualSpacing/>
              <w:rPr>
                <w:b/>
                <w:i/>
                <w:color w:val="002060"/>
                <w:sz w:val="24"/>
                <w:szCs w:val="24"/>
                <w:u w:val="single"/>
              </w:rPr>
            </w:pPr>
            <w:r w:rsidRPr="000E5646">
              <w:rPr>
                <w:color w:val="002060"/>
                <w:sz w:val="24"/>
                <w:szCs w:val="24"/>
              </w:rPr>
              <w:t>Lives segments that may be used varies by TPE</w:t>
            </w:r>
          </w:p>
          <w:p w14:paraId="52A2FB95" w14:textId="7497B812" w:rsidR="001771BF" w:rsidRPr="000E5646" w:rsidRDefault="0073241C" w:rsidP="00BF22B7">
            <w:pPr>
              <w:pStyle w:val="ListParagraph"/>
              <w:numPr>
                <w:ilvl w:val="0"/>
                <w:numId w:val="11"/>
              </w:numPr>
              <w:spacing w:line="276" w:lineRule="auto"/>
              <w:ind w:left="268" w:hanging="180"/>
              <w:contextualSpacing/>
              <w:rPr>
                <w:b/>
                <w:i/>
                <w:color w:val="002060"/>
                <w:sz w:val="24"/>
                <w:szCs w:val="24"/>
                <w:u w:val="single"/>
              </w:rPr>
            </w:pPr>
            <w:r w:rsidRPr="000E5646">
              <w:rPr>
                <w:b/>
                <w:i/>
                <w:color w:val="002060"/>
                <w:sz w:val="24"/>
                <w:szCs w:val="24"/>
                <w:u w:val="single"/>
              </w:rPr>
              <w:t>This is for new business to MetLife; any existing business will require review by Underwriting and Operations to determine compensation and timing</w:t>
            </w:r>
          </w:p>
        </w:tc>
      </w:tr>
      <w:tr w:rsidR="002429F0" w:rsidRPr="000E5646" w14:paraId="4BAEBD7E" w14:textId="77777777" w:rsidTr="000E5646">
        <w:tc>
          <w:tcPr>
            <w:tcW w:w="1831" w:type="dxa"/>
            <w:shd w:val="clear" w:color="auto" w:fill="F2F2F2" w:themeFill="background1" w:themeFillShade="F2"/>
            <w:vAlign w:val="center"/>
          </w:tcPr>
          <w:p w14:paraId="57B79C49" w14:textId="01B399B1" w:rsidR="002429F0" w:rsidRPr="000E5646" w:rsidRDefault="00BF22B7" w:rsidP="002429F0">
            <w:pPr>
              <w:rPr>
                <w:b/>
                <w:bCs/>
                <w:color w:val="002060"/>
                <w:sz w:val="24"/>
                <w:szCs w:val="24"/>
              </w:rPr>
            </w:pPr>
            <w:r w:rsidRPr="000E5646">
              <w:rPr>
                <w:b/>
                <w:bCs/>
                <w:color w:val="002060"/>
                <w:sz w:val="24"/>
                <w:szCs w:val="24"/>
              </w:rPr>
              <w:t>Cases quoted through UW</w:t>
            </w:r>
          </w:p>
        </w:tc>
        <w:tc>
          <w:tcPr>
            <w:tcW w:w="9149" w:type="dxa"/>
          </w:tcPr>
          <w:p w14:paraId="02F2B2D6" w14:textId="261E9DC9" w:rsidR="00FD1753" w:rsidRPr="000E5646" w:rsidRDefault="00FD1753" w:rsidP="00FD1753">
            <w:pPr>
              <w:pStyle w:val="ListParagraph"/>
              <w:numPr>
                <w:ilvl w:val="0"/>
                <w:numId w:val="11"/>
              </w:numPr>
              <w:ind w:left="268" w:hanging="180"/>
              <w:rPr>
                <w:color w:val="002060"/>
                <w:sz w:val="24"/>
                <w:szCs w:val="24"/>
              </w:rPr>
            </w:pPr>
            <w:r w:rsidRPr="000E5646">
              <w:rPr>
                <w:color w:val="002060"/>
                <w:sz w:val="24"/>
                <w:szCs w:val="24"/>
              </w:rPr>
              <w:t>Groups for this offer may be quoted through Underwriting if the rating tool does not allow or group is 100+ eligible lives. The following steps will need to be followed:</w:t>
            </w:r>
          </w:p>
          <w:p w14:paraId="33C370CB" w14:textId="77777777" w:rsidR="00FD1753" w:rsidRPr="000E5646" w:rsidRDefault="00FD1753" w:rsidP="00FD1753">
            <w:pPr>
              <w:pStyle w:val="ListParagraph"/>
              <w:numPr>
                <w:ilvl w:val="2"/>
                <w:numId w:val="11"/>
              </w:numPr>
              <w:ind w:left="808" w:hanging="180"/>
              <w:rPr>
                <w:color w:val="002060"/>
                <w:sz w:val="24"/>
                <w:szCs w:val="24"/>
              </w:rPr>
            </w:pPr>
            <w:r w:rsidRPr="000E5646">
              <w:rPr>
                <w:color w:val="002060"/>
                <w:sz w:val="24"/>
                <w:szCs w:val="24"/>
              </w:rPr>
              <w:t xml:space="preserve">For 100+, send all requests to your local MetLife Account Executive </w:t>
            </w:r>
          </w:p>
          <w:p w14:paraId="6BCAE64D" w14:textId="77777777" w:rsidR="00FD1753" w:rsidRPr="000E5646" w:rsidRDefault="00FD1753" w:rsidP="00FD1753">
            <w:pPr>
              <w:pStyle w:val="ListParagraph"/>
              <w:numPr>
                <w:ilvl w:val="2"/>
                <w:numId w:val="11"/>
              </w:numPr>
              <w:ind w:left="808" w:hanging="180"/>
              <w:rPr>
                <w:color w:val="002060"/>
                <w:sz w:val="24"/>
                <w:szCs w:val="24"/>
              </w:rPr>
            </w:pPr>
            <w:r w:rsidRPr="000E5646">
              <w:rPr>
                <w:color w:val="002060"/>
                <w:sz w:val="24"/>
                <w:szCs w:val="24"/>
              </w:rPr>
              <w:t>For &lt;100 send request your Small Market Sales Rep</w:t>
            </w:r>
          </w:p>
          <w:p w14:paraId="61F1FE8C" w14:textId="77777777" w:rsidR="00FD1753" w:rsidRPr="000E5646" w:rsidRDefault="00FD1753" w:rsidP="00FD1753">
            <w:pPr>
              <w:pStyle w:val="ListParagraph"/>
              <w:numPr>
                <w:ilvl w:val="2"/>
                <w:numId w:val="18"/>
              </w:numPr>
              <w:ind w:left="1345" w:hanging="270"/>
              <w:rPr>
                <w:color w:val="002060"/>
                <w:sz w:val="24"/>
                <w:szCs w:val="24"/>
              </w:rPr>
            </w:pPr>
            <w:r w:rsidRPr="000E5646">
              <w:rPr>
                <w:color w:val="002060"/>
                <w:sz w:val="24"/>
                <w:szCs w:val="24"/>
              </w:rPr>
              <w:t>Please include the following information in the request:</w:t>
            </w:r>
          </w:p>
          <w:p w14:paraId="067EB3AB" w14:textId="39111D17" w:rsidR="002429F0" w:rsidRPr="000E5646" w:rsidRDefault="002429F0" w:rsidP="00404E2C">
            <w:pPr>
              <w:pStyle w:val="ListParagraph"/>
              <w:numPr>
                <w:ilvl w:val="3"/>
                <w:numId w:val="18"/>
              </w:numPr>
              <w:spacing w:line="276" w:lineRule="auto"/>
              <w:contextualSpacing/>
              <w:rPr>
                <w:color w:val="002060"/>
                <w:sz w:val="24"/>
                <w:szCs w:val="24"/>
              </w:rPr>
            </w:pPr>
            <w:r w:rsidRPr="000E5646">
              <w:rPr>
                <w:color w:val="002060"/>
                <w:sz w:val="24"/>
                <w:szCs w:val="24"/>
              </w:rPr>
              <w:t xml:space="preserve">GIS </w:t>
            </w:r>
            <w:r w:rsidR="003B62FF">
              <w:rPr>
                <w:color w:val="002060"/>
                <w:sz w:val="24"/>
                <w:szCs w:val="24"/>
              </w:rPr>
              <w:t xml:space="preserve">Benefits </w:t>
            </w:r>
            <w:r w:rsidRPr="000E5646">
              <w:rPr>
                <w:color w:val="002060"/>
                <w:sz w:val="24"/>
                <w:szCs w:val="24"/>
              </w:rPr>
              <w:t>will be the GA</w:t>
            </w:r>
          </w:p>
          <w:p w14:paraId="5F91FDCD" w14:textId="77777777" w:rsidR="002429F0" w:rsidRDefault="002429F0" w:rsidP="00404E2C">
            <w:pPr>
              <w:pStyle w:val="ListParagraph"/>
              <w:numPr>
                <w:ilvl w:val="3"/>
                <w:numId w:val="18"/>
              </w:numPr>
              <w:spacing w:line="276" w:lineRule="auto"/>
              <w:contextualSpacing/>
              <w:rPr>
                <w:color w:val="002060"/>
                <w:sz w:val="24"/>
                <w:szCs w:val="24"/>
              </w:rPr>
            </w:pPr>
            <w:r w:rsidRPr="000E5646">
              <w:rPr>
                <w:color w:val="002060"/>
                <w:sz w:val="24"/>
                <w:szCs w:val="24"/>
              </w:rPr>
              <w:t xml:space="preserve">Which TPE </w:t>
            </w:r>
            <w:r w:rsidR="00BF22B7" w:rsidRPr="000E5646">
              <w:rPr>
                <w:color w:val="002060"/>
                <w:sz w:val="24"/>
                <w:szCs w:val="24"/>
              </w:rPr>
              <w:t xml:space="preserve">you are working </w:t>
            </w:r>
            <w:r w:rsidRPr="000E5646">
              <w:rPr>
                <w:color w:val="002060"/>
                <w:sz w:val="24"/>
                <w:szCs w:val="24"/>
              </w:rPr>
              <w:t>with (Ease or EE Navigator)</w:t>
            </w:r>
          </w:p>
          <w:p w14:paraId="39F373D0" w14:textId="14C10046" w:rsidR="002E4C80" w:rsidRPr="000E5646" w:rsidRDefault="002E4C80" w:rsidP="00D215DA">
            <w:pPr>
              <w:pStyle w:val="ListParagraph"/>
              <w:numPr>
                <w:ilvl w:val="0"/>
                <w:numId w:val="18"/>
              </w:numPr>
              <w:spacing w:line="276" w:lineRule="auto"/>
              <w:contextualSpacing/>
              <w:rPr>
                <w:color w:val="002060"/>
                <w:sz w:val="24"/>
                <w:szCs w:val="24"/>
              </w:rPr>
            </w:pPr>
            <w:r>
              <w:rPr>
                <w:color w:val="002060"/>
                <w:sz w:val="24"/>
                <w:szCs w:val="24"/>
              </w:rPr>
              <w:t>Compensation shall be loaded into the customer’s rates</w:t>
            </w:r>
          </w:p>
        </w:tc>
      </w:tr>
      <w:tr w:rsidR="00FD1753" w:rsidRPr="000E5646" w14:paraId="56E373D7" w14:textId="77777777" w:rsidTr="000E5646">
        <w:tc>
          <w:tcPr>
            <w:tcW w:w="1831" w:type="dxa"/>
            <w:shd w:val="clear" w:color="auto" w:fill="F2F2F2" w:themeFill="background1" w:themeFillShade="F2"/>
            <w:vAlign w:val="center"/>
          </w:tcPr>
          <w:p w14:paraId="27C56ADC" w14:textId="3A4A3125" w:rsidR="00FD1753" w:rsidRPr="000E5646" w:rsidRDefault="00FD1753" w:rsidP="002429F0">
            <w:pPr>
              <w:rPr>
                <w:b/>
                <w:bCs/>
                <w:color w:val="002060"/>
                <w:sz w:val="24"/>
                <w:szCs w:val="24"/>
              </w:rPr>
            </w:pPr>
            <w:r w:rsidRPr="000E5646">
              <w:rPr>
                <w:b/>
                <w:bCs/>
                <w:color w:val="002060"/>
                <w:sz w:val="24"/>
                <w:szCs w:val="24"/>
              </w:rPr>
              <w:t>Renewal (existing) Business</w:t>
            </w:r>
          </w:p>
        </w:tc>
        <w:tc>
          <w:tcPr>
            <w:tcW w:w="9149" w:type="dxa"/>
          </w:tcPr>
          <w:p w14:paraId="03C34008" w14:textId="77777777" w:rsidR="00FD1753" w:rsidRPr="000E5646" w:rsidRDefault="00FD1753" w:rsidP="00DB5D44">
            <w:pPr>
              <w:pStyle w:val="ListParagraph"/>
              <w:numPr>
                <w:ilvl w:val="0"/>
                <w:numId w:val="13"/>
              </w:numPr>
              <w:spacing w:line="276" w:lineRule="auto"/>
              <w:ind w:left="268" w:hanging="180"/>
              <w:contextualSpacing/>
              <w:rPr>
                <w:color w:val="002060"/>
                <w:sz w:val="24"/>
                <w:szCs w:val="24"/>
              </w:rPr>
            </w:pPr>
            <w:r w:rsidRPr="000E5646">
              <w:rPr>
                <w:color w:val="002060"/>
                <w:sz w:val="24"/>
                <w:szCs w:val="24"/>
              </w:rPr>
              <w:t xml:space="preserve">We are not actively working to add platform fees for existing business at renewal. There may be times a platform fee may be negotiated as part of the eligible renewal. </w:t>
            </w:r>
            <w:r w:rsidR="00DB5D44" w:rsidRPr="000E5646">
              <w:rPr>
                <w:color w:val="002060"/>
                <w:sz w:val="24"/>
                <w:szCs w:val="24"/>
              </w:rPr>
              <w:t xml:space="preserve"> </w:t>
            </w:r>
            <w:r w:rsidRPr="000E5646">
              <w:rPr>
                <w:color w:val="002060"/>
                <w:sz w:val="24"/>
                <w:szCs w:val="24"/>
              </w:rPr>
              <w:t xml:space="preserve">We define eligible as meaning coverages are not in rate guarantee or rate capped. </w:t>
            </w:r>
          </w:p>
          <w:p w14:paraId="424E3F12" w14:textId="77777777" w:rsidR="00DB5D44" w:rsidRPr="000E5646" w:rsidRDefault="00DB5D44" w:rsidP="00DB5D44">
            <w:pPr>
              <w:pStyle w:val="ListParagraph"/>
              <w:numPr>
                <w:ilvl w:val="0"/>
                <w:numId w:val="13"/>
              </w:numPr>
              <w:spacing w:line="276" w:lineRule="auto"/>
              <w:ind w:left="268" w:hanging="180"/>
              <w:contextualSpacing/>
              <w:rPr>
                <w:color w:val="002060"/>
                <w:sz w:val="24"/>
                <w:szCs w:val="24"/>
              </w:rPr>
            </w:pPr>
            <w:r w:rsidRPr="000E5646">
              <w:rPr>
                <w:color w:val="002060"/>
                <w:sz w:val="24"/>
                <w:szCs w:val="24"/>
              </w:rPr>
              <w:lastRenderedPageBreak/>
              <w:t xml:space="preserve">If existing business is requesting to include platform fees as part of renewal, please contact your Regional Market AE or Small Market Sales Rep to discuss. </w:t>
            </w:r>
          </w:p>
          <w:p w14:paraId="5BA15269" w14:textId="422C331A" w:rsidR="0073241C" w:rsidRPr="000E5646" w:rsidRDefault="0073241C" w:rsidP="00404E2C">
            <w:pPr>
              <w:pStyle w:val="ListParagraph"/>
              <w:numPr>
                <w:ilvl w:val="1"/>
                <w:numId w:val="13"/>
              </w:numPr>
              <w:spacing w:line="276" w:lineRule="auto"/>
              <w:contextualSpacing/>
              <w:rPr>
                <w:color w:val="002060"/>
                <w:sz w:val="24"/>
                <w:szCs w:val="24"/>
              </w:rPr>
            </w:pPr>
            <w:r w:rsidRPr="000E5646">
              <w:rPr>
                <w:color w:val="002060"/>
                <w:sz w:val="24"/>
                <w:szCs w:val="24"/>
              </w:rPr>
              <w:t>RMAE or SMSR will need to discuss with underwriting and operations</w:t>
            </w:r>
          </w:p>
        </w:tc>
      </w:tr>
      <w:tr w:rsidR="002429F0" w:rsidRPr="000E5646" w14:paraId="306810FB" w14:textId="77777777" w:rsidTr="000E5646">
        <w:tc>
          <w:tcPr>
            <w:tcW w:w="1831" w:type="dxa"/>
            <w:shd w:val="clear" w:color="auto" w:fill="F2F2F2" w:themeFill="background1" w:themeFillShade="F2"/>
            <w:vAlign w:val="center"/>
          </w:tcPr>
          <w:p w14:paraId="79DD7110" w14:textId="778894FF" w:rsidR="002429F0" w:rsidRPr="000E5646" w:rsidRDefault="00DB5D44" w:rsidP="002429F0">
            <w:pPr>
              <w:rPr>
                <w:b/>
                <w:bCs/>
                <w:color w:val="002060"/>
                <w:sz w:val="24"/>
                <w:szCs w:val="24"/>
              </w:rPr>
            </w:pPr>
            <w:r w:rsidRPr="000E5646">
              <w:rPr>
                <w:b/>
                <w:bCs/>
                <w:color w:val="002060"/>
                <w:sz w:val="24"/>
                <w:szCs w:val="24"/>
              </w:rPr>
              <w:lastRenderedPageBreak/>
              <w:t>Implementation</w:t>
            </w:r>
            <w:r w:rsidR="002429F0" w:rsidRPr="000E5646">
              <w:rPr>
                <w:b/>
                <w:bCs/>
                <w:color w:val="002060"/>
                <w:sz w:val="24"/>
                <w:szCs w:val="24"/>
              </w:rPr>
              <w:t xml:space="preserve"> Process</w:t>
            </w:r>
          </w:p>
        </w:tc>
        <w:tc>
          <w:tcPr>
            <w:tcW w:w="9149" w:type="dxa"/>
          </w:tcPr>
          <w:p w14:paraId="6BA1B906" w14:textId="62A5DDFE" w:rsidR="002429F0" w:rsidRPr="000E5646" w:rsidRDefault="002429F0" w:rsidP="003166A4">
            <w:pPr>
              <w:pStyle w:val="ListParagraph"/>
              <w:numPr>
                <w:ilvl w:val="0"/>
                <w:numId w:val="14"/>
              </w:numPr>
              <w:spacing w:line="276" w:lineRule="auto"/>
              <w:ind w:left="268" w:hanging="180"/>
              <w:contextualSpacing/>
              <w:rPr>
                <w:color w:val="002060"/>
                <w:sz w:val="24"/>
                <w:szCs w:val="24"/>
              </w:rPr>
            </w:pPr>
            <w:r w:rsidRPr="000E5646">
              <w:rPr>
                <w:color w:val="002060"/>
                <w:sz w:val="24"/>
                <w:szCs w:val="24"/>
              </w:rPr>
              <w:t xml:space="preserve">GIS </w:t>
            </w:r>
            <w:r w:rsidR="00393652">
              <w:rPr>
                <w:color w:val="002060"/>
                <w:sz w:val="24"/>
                <w:szCs w:val="24"/>
              </w:rPr>
              <w:t xml:space="preserve">Benefits </w:t>
            </w:r>
            <w:r w:rsidRPr="000E5646">
              <w:rPr>
                <w:color w:val="002060"/>
                <w:sz w:val="24"/>
                <w:szCs w:val="24"/>
              </w:rPr>
              <w:t xml:space="preserve">will submit the standard short form case essentials paperwork or the standard worksite </w:t>
            </w:r>
            <w:r w:rsidR="00F4496F" w:rsidRPr="000E5646">
              <w:rPr>
                <w:color w:val="002060"/>
                <w:sz w:val="24"/>
                <w:szCs w:val="24"/>
              </w:rPr>
              <w:t>paperwork</w:t>
            </w:r>
            <w:r w:rsidRPr="000E5646">
              <w:rPr>
                <w:color w:val="002060"/>
                <w:sz w:val="24"/>
                <w:szCs w:val="24"/>
              </w:rPr>
              <w:t xml:space="preserve">. </w:t>
            </w:r>
          </w:p>
          <w:p w14:paraId="61586AB7" w14:textId="2E547FA5" w:rsidR="002429F0" w:rsidRPr="000E5646" w:rsidRDefault="002429F0" w:rsidP="003166A4">
            <w:pPr>
              <w:pStyle w:val="ListParagraph"/>
              <w:numPr>
                <w:ilvl w:val="0"/>
                <w:numId w:val="14"/>
              </w:numPr>
              <w:spacing w:line="276" w:lineRule="auto"/>
              <w:ind w:left="268" w:hanging="180"/>
              <w:contextualSpacing/>
              <w:rPr>
                <w:color w:val="002060"/>
                <w:sz w:val="24"/>
                <w:szCs w:val="24"/>
              </w:rPr>
            </w:pPr>
            <w:r w:rsidRPr="000E5646">
              <w:rPr>
                <w:color w:val="002060"/>
                <w:sz w:val="24"/>
                <w:szCs w:val="24"/>
              </w:rPr>
              <w:t xml:space="preserve">GIS </w:t>
            </w:r>
            <w:r w:rsidR="00393652">
              <w:rPr>
                <w:color w:val="002060"/>
                <w:sz w:val="24"/>
                <w:szCs w:val="24"/>
              </w:rPr>
              <w:t xml:space="preserve">Benefits </w:t>
            </w:r>
            <w:r w:rsidRPr="000E5646">
              <w:rPr>
                <w:color w:val="002060"/>
                <w:sz w:val="24"/>
                <w:szCs w:val="24"/>
              </w:rPr>
              <w:t>will submit a completed Service Fee Authorization</w:t>
            </w:r>
            <w:r w:rsidR="00FE3413">
              <w:rPr>
                <w:color w:val="002060"/>
                <w:sz w:val="24"/>
                <w:szCs w:val="24"/>
              </w:rPr>
              <w:t xml:space="preserve"> (found on Microsite)</w:t>
            </w:r>
            <w:r w:rsidRPr="000E5646">
              <w:rPr>
                <w:color w:val="002060"/>
                <w:sz w:val="24"/>
                <w:szCs w:val="24"/>
              </w:rPr>
              <w:t xml:space="preserve"> for either Ease or EE Navigator</w:t>
            </w:r>
            <w:r w:rsidR="00404E2C" w:rsidRPr="000E5646">
              <w:rPr>
                <w:color w:val="002060"/>
                <w:sz w:val="24"/>
                <w:szCs w:val="24"/>
              </w:rPr>
              <w:t xml:space="preserve"> for </w:t>
            </w:r>
            <w:r w:rsidR="00404E2C" w:rsidRPr="000E5646">
              <w:rPr>
                <w:color w:val="002060"/>
                <w:sz w:val="24"/>
                <w:szCs w:val="24"/>
                <w:u w:val="single"/>
              </w:rPr>
              <w:t>all</w:t>
            </w:r>
            <w:r w:rsidR="00404E2C" w:rsidRPr="000E5646">
              <w:rPr>
                <w:color w:val="002060"/>
                <w:sz w:val="24"/>
                <w:szCs w:val="24"/>
              </w:rPr>
              <w:t xml:space="preserve"> groups</w:t>
            </w:r>
          </w:p>
          <w:p w14:paraId="69DEDE2F" w14:textId="5D9612B4" w:rsidR="002429F0" w:rsidRPr="000E5646" w:rsidRDefault="002429F0" w:rsidP="003166A4">
            <w:pPr>
              <w:pStyle w:val="ListParagraph"/>
              <w:numPr>
                <w:ilvl w:val="2"/>
                <w:numId w:val="14"/>
              </w:numPr>
              <w:spacing w:line="276" w:lineRule="auto"/>
              <w:ind w:left="808" w:hanging="180"/>
              <w:contextualSpacing/>
              <w:rPr>
                <w:color w:val="002060"/>
                <w:sz w:val="24"/>
                <w:szCs w:val="24"/>
              </w:rPr>
            </w:pPr>
            <w:r w:rsidRPr="000E5646">
              <w:rPr>
                <w:color w:val="002060"/>
                <w:sz w:val="24"/>
                <w:szCs w:val="24"/>
              </w:rPr>
              <w:t xml:space="preserve">The customer (policy holder) must sign this document, other parties </w:t>
            </w:r>
            <w:r w:rsidRPr="000E5646">
              <w:rPr>
                <w:color w:val="002060"/>
                <w:sz w:val="24"/>
                <w:szCs w:val="24"/>
                <w:u w:val="single"/>
              </w:rPr>
              <w:t>may not</w:t>
            </w:r>
            <w:r w:rsidRPr="000E5646">
              <w:rPr>
                <w:color w:val="002060"/>
                <w:sz w:val="24"/>
                <w:szCs w:val="24"/>
              </w:rPr>
              <w:t xml:space="preserve"> sign</w:t>
            </w:r>
          </w:p>
          <w:p w14:paraId="25FE8FA3" w14:textId="323F000E" w:rsidR="002429F0" w:rsidRPr="000E5646" w:rsidRDefault="002429F0" w:rsidP="003166A4">
            <w:pPr>
              <w:pStyle w:val="TableText"/>
              <w:numPr>
                <w:ilvl w:val="0"/>
                <w:numId w:val="14"/>
              </w:numPr>
              <w:ind w:left="26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 xml:space="preserve">GIS </w:t>
            </w:r>
            <w:r w:rsidR="00393652">
              <w:rPr>
                <w:rFonts w:ascii="Calibri" w:eastAsiaTheme="minorHAnsi" w:hAnsi="Calibri" w:cs="Calibri"/>
                <w:color w:val="002060"/>
                <w:sz w:val="24"/>
                <w:szCs w:val="24"/>
              </w:rPr>
              <w:t xml:space="preserve">Benefits </w:t>
            </w:r>
            <w:r w:rsidRPr="000E5646">
              <w:rPr>
                <w:rFonts w:ascii="Calibri" w:eastAsiaTheme="minorHAnsi" w:hAnsi="Calibri" w:cs="Calibri"/>
                <w:color w:val="002060"/>
                <w:sz w:val="24"/>
                <w:szCs w:val="24"/>
              </w:rPr>
              <w:t>will submit a completed a Non-Standard Commission Agreement based upon the</w:t>
            </w:r>
            <w:r w:rsidR="0073241C" w:rsidRPr="000E5646">
              <w:rPr>
                <w:rFonts w:ascii="Calibri" w:eastAsiaTheme="minorHAnsi" w:hAnsi="Calibri" w:cs="Calibri"/>
                <w:color w:val="002060"/>
                <w:sz w:val="24"/>
                <w:szCs w:val="24"/>
              </w:rPr>
              <w:t xml:space="preserve"> </w:t>
            </w:r>
            <w:proofErr w:type="gramStart"/>
            <w:r w:rsidR="0073241C" w:rsidRPr="000E5646">
              <w:rPr>
                <w:rFonts w:ascii="Calibri" w:eastAsiaTheme="minorHAnsi" w:hAnsi="Calibri" w:cs="Calibri"/>
                <w:b/>
                <w:bCs/>
                <w:color w:val="002060"/>
                <w:sz w:val="24"/>
                <w:szCs w:val="24"/>
              </w:rPr>
              <w:t>third party</w:t>
            </w:r>
            <w:proofErr w:type="gramEnd"/>
            <w:r w:rsidR="0073241C" w:rsidRPr="000E5646">
              <w:rPr>
                <w:rFonts w:ascii="Calibri" w:eastAsiaTheme="minorHAnsi" w:hAnsi="Calibri" w:cs="Calibri"/>
                <w:b/>
                <w:bCs/>
                <w:color w:val="002060"/>
                <w:sz w:val="24"/>
                <w:szCs w:val="24"/>
              </w:rPr>
              <w:t xml:space="preserve"> entity</w:t>
            </w:r>
            <w:r w:rsidR="00404E2C" w:rsidRPr="000E5646">
              <w:rPr>
                <w:rFonts w:ascii="Calibri" w:eastAsiaTheme="minorHAnsi" w:hAnsi="Calibri" w:cs="Calibri"/>
                <w:color w:val="002060"/>
                <w:sz w:val="24"/>
                <w:szCs w:val="24"/>
              </w:rPr>
              <w:t xml:space="preserve"> (TPE)</w:t>
            </w:r>
            <w:r w:rsidRPr="000E5646">
              <w:rPr>
                <w:rFonts w:ascii="Calibri" w:eastAsiaTheme="minorHAnsi" w:hAnsi="Calibri" w:cs="Calibri"/>
                <w:color w:val="002060"/>
                <w:sz w:val="24"/>
                <w:szCs w:val="24"/>
              </w:rPr>
              <w:t xml:space="preserve"> relationship: </w:t>
            </w:r>
          </w:p>
          <w:p w14:paraId="31D91C89" w14:textId="77777777" w:rsidR="002429F0" w:rsidRPr="000E5646" w:rsidRDefault="002429F0" w:rsidP="003166A4">
            <w:pPr>
              <w:pStyle w:val="TableText"/>
              <w:numPr>
                <w:ilvl w:val="2"/>
                <w:numId w:val="14"/>
              </w:numPr>
              <w:ind w:left="808" w:hanging="180"/>
              <w:rPr>
                <w:rFonts w:ascii="Calibri" w:eastAsiaTheme="minorHAnsi" w:hAnsi="Calibri" w:cs="Calibri"/>
                <w:color w:val="002060"/>
                <w:sz w:val="24"/>
                <w:szCs w:val="24"/>
              </w:rPr>
            </w:pPr>
            <w:r w:rsidRPr="000E5646">
              <w:rPr>
                <w:rFonts w:ascii="Calibri" w:eastAsiaTheme="minorHAnsi" w:hAnsi="Calibri" w:cs="Calibri"/>
                <w:b/>
                <w:bCs/>
                <w:color w:val="002060"/>
                <w:sz w:val="24"/>
                <w:szCs w:val="24"/>
                <w:u w:val="single"/>
              </w:rPr>
              <w:t>Groups with Ease</w:t>
            </w:r>
            <w:r w:rsidRPr="000E5646">
              <w:rPr>
                <w:rFonts w:ascii="Calibri" w:eastAsiaTheme="minorHAnsi" w:hAnsi="Calibri" w:cs="Calibri"/>
                <w:color w:val="002060"/>
                <w:sz w:val="24"/>
                <w:szCs w:val="24"/>
              </w:rPr>
              <w:t xml:space="preserve"> – how to complete the NSCA:</w:t>
            </w:r>
          </w:p>
          <w:p w14:paraId="71286FB6" w14:textId="7592CB1C" w:rsidR="002429F0" w:rsidRPr="000E5646" w:rsidRDefault="002429F0" w:rsidP="003166A4">
            <w:pPr>
              <w:pStyle w:val="TableText"/>
              <w:numPr>
                <w:ilvl w:val="3"/>
                <w:numId w:val="14"/>
              </w:numPr>
              <w:ind w:left="1258" w:hanging="180"/>
              <w:rPr>
                <w:rFonts w:ascii="Calibri" w:eastAsiaTheme="minorHAnsi" w:hAnsi="Calibri" w:cs="Calibri"/>
                <w:b/>
                <w:bCs/>
                <w:color w:val="002060"/>
                <w:sz w:val="24"/>
                <w:szCs w:val="24"/>
                <w:u w:val="single"/>
              </w:rPr>
            </w:pPr>
            <w:r w:rsidRPr="000E5646">
              <w:rPr>
                <w:rFonts w:ascii="Calibri" w:eastAsiaTheme="minorHAnsi" w:hAnsi="Calibri" w:cs="Calibri"/>
                <w:color w:val="002060"/>
                <w:sz w:val="24"/>
                <w:szCs w:val="24"/>
              </w:rPr>
              <w:t xml:space="preserve">Section 1 – customer information – Transaction type </w:t>
            </w:r>
            <w:r w:rsidRPr="000E5646">
              <w:rPr>
                <w:rFonts w:ascii="Calibri" w:eastAsiaTheme="minorHAnsi" w:hAnsi="Calibri" w:cs="Calibri"/>
                <w:b/>
                <w:bCs/>
                <w:color w:val="002060"/>
                <w:sz w:val="24"/>
                <w:szCs w:val="24"/>
                <w:u w:val="single"/>
              </w:rPr>
              <w:t>must select</w:t>
            </w:r>
            <w:r w:rsidRPr="000E5646">
              <w:rPr>
                <w:rFonts w:ascii="Calibri" w:eastAsiaTheme="minorHAnsi" w:hAnsi="Calibri" w:cs="Calibri"/>
                <w:color w:val="002060"/>
                <w:sz w:val="24"/>
                <w:szCs w:val="24"/>
                <w:u w:val="single"/>
              </w:rPr>
              <w:t xml:space="preserve"> </w:t>
            </w:r>
            <w:r w:rsidRPr="000E5646">
              <w:rPr>
                <w:rFonts w:ascii="Calibri" w:eastAsiaTheme="minorHAnsi" w:hAnsi="Calibri" w:cs="Calibri"/>
                <w:b/>
                <w:bCs/>
                <w:color w:val="002060"/>
                <w:sz w:val="24"/>
                <w:szCs w:val="24"/>
                <w:u w:val="single"/>
              </w:rPr>
              <w:t xml:space="preserve">Service Fees.  </w:t>
            </w:r>
          </w:p>
          <w:p w14:paraId="1496AEDF" w14:textId="3E86B8F0" w:rsidR="003166A4" w:rsidRPr="000E5646" w:rsidRDefault="003166A4" w:rsidP="003166A4">
            <w:pPr>
              <w:pStyle w:val="TableText"/>
              <w:numPr>
                <w:ilvl w:val="4"/>
                <w:numId w:val="14"/>
              </w:numPr>
              <w:ind w:left="1708" w:hanging="180"/>
              <w:rPr>
                <w:rFonts w:ascii="Calibri" w:eastAsiaTheme="minorHAnsi" w:hAnsi="Calibri" w:cs="Calibri"/>
                <w:color w:val="002060"/>
                <w:sz w:val="24"/>
                <w:szCs w:val="24"/>
                <w:u w:val="single"/>
              </w:rPr>
            </w:pPr>
            <w:r w:rsidRPr="000E5646">
              <w:rPr>
                <w:rFonts w:ascii="Calibri" w:eastAsiaTheme="minorHAnsi" w:hAnsi="Calibri" w:cs="Calibri"/>
                <w:color w:val="002060"/>
                <w:sz w:val="24"/>
                <w:szCs w:val="24"/>
              </w:rPr>
              <w:t>Each coverage should be included on their own line</w:t>
            </w:r>
          </w:p>
          <w:p w14:paraId="51719B2A" w14:textId="4912A9DC" w:rsidR="003166A4" w:rsidRPr="000E5646" w:rsidRDefault="003166A4" w:rsidP="003166A4">
            <w:pPr>
              <w:pStyle w:val="TableText"/>
              <w:numPr>
                <w:ilvl w:val="4"/>
                <w:numId w:val="14"/>
              </w:numPr>
              <w:ind w:left="1708" w:hanging="180"/>
              <w:rPr>
                <w:rFonts w:ascii="Calibri" w:eastAsiaTheme="minorHAnsi" w:hAnsi="Calibri" w:cs="Calibri"/>
                <w:color w:val="002060"/>
                <w:sz w:val="24"/>
                <w:szCs w:val="24"/>
                <w:u w:val="single"/>
              </w:rPr>
            </w:pPr>
            <w:r w:rsidRPr="000E5646">
              <w:rPr>
                <w:rFonts w:ascii="Calibri" w:eastAsiaTheme="minorHAnsi" w:hAnsi="Calibri" w:cs="Calibri"/>
                <w:color w:val="002060"/>
                <w:sz w:val="24"/>
                <w:szCs w:val="24"/>
              </w:rPr>
              <w:t>Commission arrangement will reflect 2%</w:t>
            </w:r>
          </w:p>
          <w:p w14:paraId="1E3FBE9E" w14:textId="57D302E1" w:rsidR="002429F0" w:rsidRPr="000E5646" w:rsidRDefault="002429F0" w:rsidP="003166A4">
            <w:pPr>
              <w:pStyle w:val="TableText"/>
              <w:numPr>
                <w:ilvl w:val="3"/>
                <w:numId w:val="14"/>
              </w:numPr>
              <w:ind w:left="125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Section 3: Signatures – Must be completed with the following information:</w:t>
            </w:r>
          </w:p>
          <w:p w14:paraId="55226474" w14:textId="6687AA20" w:rsidR="00DB5D44" w:rsidRPr="000E5646" w:rsidRDefault="003166A4" w:rsidP="003166A4">
            <w:pPr>
              <w:pStyle w:val="TableText"/>
              <w:numPr>
                <w:ilvl w:val="4"/>
                <w:numId w:val="14"/>
              </w:numPr>
              <w:ind w:left="170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 xml:space="preserve">Name: Bridget </w:t>
            </w:r>
            <w:proofErr w:type="spellStart"/>
            <w:r w:rsidRPr="000E5646">
              <w:rPr>
                <w:rFonts w:ascii="Calibri" w:eastAsiaTheme="minorHAnsi" w:hAnsi="Calibri" w:cs="Calibri"/>
                <w:color w:val="002060"/>
                <w:sz w:val="24"/>
                <w:szCs w:val="24"/>
              </w:rPr>
              <w:t>Ausman</w:t>
            </w:r>
            <w:proofErr w:type="spellEnd"/>
          </w:p>
          <w:p w14:paraId="7D968E0C" w14:textId="11380A75" w:rsidR="003166A4" w:rsidRPr="000E5646" w:rsidRDefault="003166A4" w:rsidP="003166A4">
            <w:pPr>
              <w:pStyle w:val="TableText"/>
              <w:numPr>
                <w:ilvl w:val="4"/>
                <w:numId w:val="14"/>
              </w:numPr>
              <w:ind w:left="170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SSN, Broker Code or Licenses Number:  BKR4057739</w:t>
            </w:r>
          </w:p>
          <w:p w14:paraId="2DF5F163" w14:textId="1DFF2EC8" w:rsidR="003166A4" w:rsidRPr="000E5646" w:rsidRDefault="003166A4" w:rsidP="003166A4">
            <w:pPr>
              <w:pStyle w:val="TableText"/>
              <w:numPr>
                <w:ilvl w:val="4"/>
                <w:numId w:val="14"/>
              </w:numPr>
              <w:ind w:left="170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 xml:space="preserve">Email address: </w:t>
            </w:r>
            <w:hyperlink r:id="rId14" w:history="1">
              <w:r w:rsidRPr="000E5646">
                <w:rPr>
                  <w:rStyle w:val="Hyperlink"/>
                  <w:rFonts w:ascii="Calibri" w:eastAsiaTheme="minorHAnsi" w:hAnsi="Calibri" w:cs="Calibri"/>
                  <w:sz w:val="24"/>
                  <w:szCs w:val="24"/>
                </w:rPr>
                <w:t>biz@ease.com</w:t>
              </w:r>
            </w:hyperlink>
          </w:p>
          <w:p w14:paraId="167F2097" w14:textId="77777777" w:rsidR="003166A4" w:rsidRPr="000E5646" w:rsidRDefault="003166A4" w:rsidP="003166A4">
            <w:pPr>
              <w:pStyle w:val="TableText"/>
              <w:numPr>
                <w:ilvl w:val="4"/>
                <w:numId w:val="14"/>
              </w:numPr>
              <w:ind w:left="170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Payee: Must be completed with the following information:</w:t>
            </w:r>
          </w:p>
          <w:p w14:paraId="7ED298F6" w14:textId="77777777" w:rsidR="002429F0" w:rsidRPr="000E5646" w:rsidRDefault="002429F0" w:rsidP="003166A4">
            <w:pPr>
              <w:pStyle w:val="TableText"/>
              <w:numPr>
                <w:ilvl w:val="6"/>
                <w:numId w:val="14"/>
              </w:numPr>
              <w:ind w:left="206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 xml:space="preserve">Individual name/Business entity to be paid: </w:t>
            </w:r>
            <w:proofErr w:type="spellStart"/>
            <w:r w:rsidRPr="000E5646">
              <w:rPr>
                <w:rFonts w:ascii="Calibri" w:eastAsiaTheme="minorHAnsi" w:hAnsi="Calibri" w:cs="Calibri"/>
                <w:color w:val="002060"/>
                <w:sz w:val="24"/>
                <w:szCs w:val="24"/>
              </w:rPr>
              <w:t>Enrollease</w:t>
            </w:r>
            <w:proofErr w:type="spellEnd"/>
            <w:r w:rsidRPr="000E5646">
              <w:rPr>
                <w:rFonts w:ascii="Calibri" w:eastAsiaTheme="minorHAnsi" w:hAnsi="Calibri" w:cs="Calibri"/>
                <w:color w:val="002060"/>
                <w:sz w:val="24"/>
                <w:szCs w:val="24"/>
              </w:rPr>
              <w:t>, Inc.</w:t>
            </w:r>
          </w:p>
          <w:p w14:paraId="704304C8" w14:textId="244DD329" w:rsidR="002429F0" w:rsidRPr="000E5646" w:rsidRDefault="002429F0" w:rsidP="003166A4">
            <w:pPr>
              <w:pStyle w:val="TableText"/>
              <w:numPr>
                <w:ilvl w:val="6"/>
                <w:numId w:val="14"/>
              </w:numPr>
              <w:ind w:left="206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SSN/Taxpayer Identification number: 47-3211231</w:t>
            </w:r>
          </w:p>
          <w:p w14:paraId="561B70C1" w14:textId="472AD06A" w:rsidR="002429F0" w:rsidRPr="000E5646" w:rsidRDefault="002429F0" w:rsidP="003166A4">
            <w:pPr>
              <w:pStyle w:val="TableText"/>
              <w:numPr>
                <w:ilvl w:val="6"/>
                <w:numId w:val="14"/>
              </w:numPr>
              <w:ind w:left="206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Broker code: BKC4014061</w:t>
            </w:r>
          </w:p>
          <w:p w14:paraId="75C17EF1" w14:textId="77777777" w:rsidR="002429F0" w:rsidRPr="000E5646" w:rsidRDefault="002429F0" w:rsidP="003166A4">
            <w:pPr>
              <w:pStyle w:val="TableText"/>
              <w:numPr>
                <w:ilvl w:val="6"/>
                <w:numId w:val="14"/>
              </w:numPr>
              <w:ind w:left="206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Commission payment street address: 500 Treat Street, STE 200</w:t>
            </w:r>
          </w:p>
          <w:p w14:paraId="1B2FD3CC" w14:textId="77777777" w:rsidR="002429F0" w:rsidRPr="000E5646" w:rsidRDefault="002429F0" w:rsidP="003166A4">
            <w:pPr>
              <w:pStyle w:val="TableText"/>
              <w:numPr>
                <w:ilvl w:val="6"/>
                <w:numId w:val="14"/>
              </w:numPr>
              <w:ind w:left="206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City: San Francisco</w:t>
            </w:r>
          </w:p>
          <w:p w14:paraId="14DCF07C" w14:textId="77777777" w:rsidR="002429F0" w:rsidRPr="000E5646" w:rsidRDefault="002429F0" w:rsidP="003166A4">
            <w:pPr>
              <w:pStyle w:val="TableText"/>
              <w:numPr>
                <w:ilvl w:val="6"/>
                <w:numId w:val="14"/>
              </w:numPr>
              <w:ind w:left="206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State: CA</w:t>
            </w:r>
          </w:p>
          <w:p w14:paraId="78956BC2" w14:textId="77777777" w:rsidR="002429F0" w:rsidRPr="000E5646" w:rsidRDefault="002429F0" w:rsidP="003166A4">
            <w:pPr>
              <w:pStyle w:val="TableText"/>
              <w:numPr>
                <w:ilvl w:val="6"/>
                <w:numId w:val="14"/>
              </w:numPr>
              <w:ind w:left="206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Zip Code: 94110</w:t>
            </w:r>
          </w:p>
          <w:p w14:paraId="2A2C8EF7" w14:textId="33E32F71" w:rsidR="002429F0" w:rsidRPr="000E5646" w:rsidRDefault="002429F0" w:rsidP="003166A4">
            <w:pPr>
              <w:pStyle w:val="TableText"/>
              <w:numPr>
                <w:ilvl w:val="3"/>
                <w:numId w:val="14"/>
              </w:numPr>
              <w:ind w:left="125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Sample is attached at the end of this document</w:t>
            </w:r>
          </w:p>
          <w:p w14:paraId="0E9637C1" w14:textId="3CA5C66F" w:rsidR="002429F0" w:rsidRPr="000E5646" w:rsidRDefault="002429F0" w:rsidP="003166A4">
            <w:pPr>
              <w:pStyle w:val="TableText"/>
              <w:numPr>
                <w:ilvl w:val="3"/>
                <w:numId w:val="14"/>
              </w:numPr>
              <w:ind w:left="125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 xml:space="preserve">Payment will be made to Ease when GIS </w:t>
            </w:r>
            <w:r w:rsidR="001E1590" w:rsidRPr="000E5646">
              <w:rPr>
                <w:rFonts w:ascii="Calibri" w:eastAsiaTheme="minorHAnsi" w:hAnsi="Calibri" w:cs="Calibri"/>
                <w:color w:val="002060"/>
                <w:sz w:val="24"/>
                <w:szCs w:val="24"/>
              </w:rPr>
              <w:t xml:space="preserve">Benefits </w:t>
            </w:r>
            <w:r w:rsidRPr="000E5646">
              <w:rPr>
                <w:rFonts w:ascii="Calibri" w:eastAsiaTheme="minorHAnsi" w:hAnsi="Calibri" w:cs="Calibri"/>
                <w:color w:val="002060"/>
                <w:sz w:val="24"/>
                <w:szCs w:val="24"/>
              </w:rPr>
              <w:t xml:space="preserve">uses Ease on their groups.  </w:t>
            </w:r>
          </w:p>
          <w:p w14:paraId="0A755527" w14:textId="5A9B303B" w:rsidR="002429F0" w:rsidRPr="000E5646" w:rsidRDefault="002429F0" w:rsidP="003166A4">
            <w:pPr>
              <w:pStyle w:val="TableText"/>
              <w:numPr>
                <w:ilvl w:val="3"/>
                <w:numId w:val="14"/>
              </w:numPr>
              <w:ind w:left="125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Ease must sign the NSCA.</w:t>
            </w:r>
          </w:p>
          <w:p w14:paraId="52506E37" w14:textId="752E83D6" w:rsidR="002429F0" w:rsidRPr="000E5646" w:rsidRDefault="002429F0" w:rsidP="003166A4">
            <w:pPr>
              <w:pStyle w:val="TableText"/>
              <w:numPr>
                <w:ilvl w:val="1"/>
                <w:numId w:val="14"/>
              </w:numPr>
              <w:ind w:left="898" w:hanging="270"/>
              <w:rPr>
                <w:rFonts w:ascii="Calibri" w:eastAsiaTheme="minorHAnsi" w:hAnsi="Calibri" w:cs="Calibri"/>
                <w:color w:val="002060"/>
                <w:sz w:val="24"/>
                <w:szCs w:val="24"/>
              </w:rPr>
            </w:pPr>
            <w:r w:rsidRPr="000E5646">
              <w:rPr>
                <w:rFonts w:ascii="Calibri" w:eastAsiaTheme="minorHAnsi" w:hAnsi="Calibri" w:cs="Calibri"/>
                <w:b/>
                <w:bCs/>
                <w:color w:val="002060"/>
                <w:sz w:val="24"/>
                <w:szCs w:val="24"/>
                <w:u w:val="single"/>
              </w:rPr>
              <w:t xml:space="preserve">Groups with EE Navigator </w:t>
            </w:r>
            <w:r w:rsidRPr="000E5646">
              <w:rPr>
                <w:rFonts w:ascii="Calibri" w:eastAsiaTheme="minorHAnsi" w:hAnsi="Calibri" w:cs="Calibri"/>
                <w:color w:val="002060"/>
                <w:sz w:val="24"/>
                <w:szCs w:val="24"/>
              </w:rPr>
              <w:t>- how to complete the NSCA:</w:t>
            </w:r>
          </w:p>
          <w:p w14:paraId="7FC1B5FB" w14:textId="0358071A" w:rsidR="002429F0" w:rsidRPr="000E5646" w:rsidRDefault="002429F0" w:rsidP="003166A4">
            <w:pPr>
              <w:pStyle w:val="TableText"/>
              <w:numPr>
                <w:ilvl w:val="3"/>
                <w:numId w:val="14"/>
              </w:numPr>
              <w:ind w:left="125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Section 1- customer information</w:t>
            </w:r>
            <w:r w:rsidR="003166A4" w:rsidRPr="000E5646">
              <w:rPr>
                <w:rFonts w:ascii="Calibri" w:eastAsiaTheme="minorHAnsi" w:hAnsi="Calibri" w:cs="Calibri"/>
                <w:color w:val="002060"/>
                <w:sz w:val="24"/>
                <w:szCs w:val="24"/>
              </w:rPr>
              <w:t xml:space="preserve"> – </w:t>
            </w:r>
            <w:r w:rsidRPr="000E5646">
              <w:rPr>
                <w:rFonts w:ascii="Calibri" w:eastAsiaTheme="minorHAnsi" w:hAnsi="Calibri" w:cs="Calibri"/>
                <w:color w:val="002060"/>
                <w:sz w:val="24"/>
                <w:szCs w:val="24"/>
              </w:rPr>
              <w:t xml:space="preserve">Transaction type </w:t>
            </w:r>
            <w:r w:rsidRPr="000E5646">
              <w:rPr>
                <w:rFonts w:ascii="Calibri" w:eastAsiaTheme="minorHAnsi" w:hAnsi="Calibri" w:cs="Calibri"/>
                <w:b/>
                <w:bCs/>
                <w:color w:val="002060"/>
                <w:sz w:val="24"/>
                <w:szCs w:val="24"/>
                <w:u w:val="single"/>
              </w:rPr>
              <w:t>must select</w:t>
            </w:r>
            <w:r w:rsidRPr="000E5646">
              <w:rPr>
                <w:rFonts w:ascii="Calibri" w:eastAsiaTheme="minorHAnsi" w:hAnsi="Calibri" w:cs="Calibri"/>
                <w:color w:val="002060"/>
                <w:sz w:val="24"/>
                <w:szCs w:val="24"/>
              </w:rPr>
              <w:t xml:space="preserve"> </w:t>
            </w:r>
            <w:r w:rsidRPr="000E5646">
              <w:rPr>
                <w:rFonts w:ascii="Calibri" w:eastAsiaTheme="minorHAnsi" w:hAnsi="Calibri" w:cs="Calibri"/>
                <w:b/>
                <w:bCs/>
                <w:color w:val="002060"/>
                <w:sz w:val="24"/>
                <w:szCs w:val="24"/>
                <w:u w:val="single"/>
              </w:rPr>
              <w:t xml:space="preserve">Service Fees.  </w:t>
            </w:r>
          </w:p>
          <w:p w14:paraId="2B115B21" w14:textId="7656ECA7" w:rsidR="002429F0" w:rsidRPr="000E5646" w:rsidRDefault="002429F0" w:rsidP="001E1590">
            <w:pPr>
              <w:pStyle w:val="TableText"/>
              <w:numPr>
                <w:ilvl w:val="4"/>
                <w:numId w:val="14"/>
              </w:numPr>
              <w:ind w:left="170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 xml:space="preserve">Each coverage should be included on their own line </w:t>
            </w:r>
          </w:p>
          <w:p w14:paraId="4422CB38" w14:textId="10F1DA7B" w:rsidR="002429F0" w:rsidRPr="000E5646" w:rsidRDefault="002429F0" w:rsidP="001E1590">
            <w:pPr>
              <w:pStyle w:val="TableText"/>
              <w:numPr>
                <w:ilvl w:val="4"/>
                <w:numId w:val="14"/>
              </w:numPr>
              <w:ind w:left="170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Commission arrangement will reflect 2.</w:t>
            </w:r>
            <w:r w:rsidR="00393652">
              <w:rPr>
                <w:rFonts w:ascii="Calibri" w:eastAsiaTheme="minorHAnsi" w:hAnsi="Calibri" w:cs="Calibri"/>
                <w:color w:val="002060"/>
                <w:sz w:val="24"/>
                <w:szCs w:val="24"/>
              </w:rPr>
              <w:t>5</w:t>
            </w:r>
            <w:r w:rsidRPr="000E5646">
              <w:rPr>
                <w:rFonts w:ascii="Calibri" w:eastAsiaTheme="minorHAnsi" w:hAnsi="Calibri" w:cs="Calibri"/>
                <w:color w:val="002060"/>
                <w:sz w:val="24"/>
                <w:szCs w:val="24"/>
              </w:rPr>
              <w:t>%</w:t>
            </w:r>
            <w:r w:rsidR="00404E2C" w:rsidRPr="000E5646">
              <w:rPr>
                <w:rFonts w:ascii="Calibri" w:eastAsiaTheme="minorHAnsi" w:hAnsi="Calibri" w:cs="Calibri"/>
                <w:color w:val="002060"/>
                <w:sz w:val="24"/>
                <w:szCs w:val="24"/>
              </w:rPr>
              <w:t xml:space="preserve"> - </w:t>
            </w:r>
          </w:p>
          <w:p w14:paraId="7A9D0D7F" w14:textId="06F01A04" w:rsidR="002429F0" w:rsidRPr="000E5646" w:rsidRDefault="002429F0" w:rsidP="001E1590">
            <w:pPr>
              <w:pStyle w:val="TableText"/>
              <w:numPr>
                <w:ilvl w:val="4"/>
                <w:numId w:val="14"/>
              </w:numPr>
              <w:ind w:left="170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Section 3: Signatures - GIS Benefits, Inc. will complete signing of document and provide their payee information.</w:t>
            </w:r>
          </w:p>
          <w:p w14:paraId="2BB00694" w14:textId="78F3D26A" w:rsidR="002429F0" w:rsidRPr="000E5646" w:rsidRDefault="002429F0" w:rsidP="001E1590">
            <w:pPr>
              <w:pStyle w:val="TableText"/>
              <w:numPr>
                <w:ilvl w:val="4"/>
                <w:numId w:val="14"/>
              </w:numPr>
              <w:ind w:left="1708" w:hanging="180"/>
              <w:rPr>
                <w:rFonts w:ascii="Calibri" w:eastAsiaTheme="minorHAnsi" w:hAnsi="Calibri" w:cs="Calibri"/>
                <w:color w:val="002060"/>
                <w:sz w:val="24"/>
                <w:szCs w:val="24"/>
              </w:rPr>
            </w:pPr>
            <w:r w:rsidRPr="000E5646">
              <w:rPr>
                <w:rFonts w:ascii="Calibri" w:eastAsiaTheme="minorHAnsi" w:hAnsi="Calibri" w:cs="Calibri"/>
                <w:color w:val="002060"/>
                <w:sz w:val="24"/>
                <w:szCs w:val="24"/>
              </w:rPr>
              <w:t xml:space="preserve">Payment will be made to GIS Benefits Inc. when GIS </w:t>
            </w:r>
            <w:r w:rsidR="0069761B">
              <w:rPr>
                <w:rFonts w:ascii="Calibri" w:eastAsiaTheme="minorHAnsi" w:hAnsi="Calibri" w:cs="Calibri"/>
                <w:color w:val="002060"/>
                <w:sz w:val="24"/>
                <w:szCs w:val="24"/>
              </w:rPr>
              <w:t xml:space="preserve">Benefits </w:t>
            </w:r>
            <w:r w:rsidRPr="000E5646">
              <w:rPr>
                <w:rFonts w:ascii="Calibri" w:eastAsiaTheme="minorHAnsi" w:hAnsi="Calibri" w:cs="Calibri"/>
                <w:color w:val="002060"/>
                <w:sz w:val="24"/>
                <w:szCs w:val="24"/>
              </w:rPr>
              <w:t>uses EE Navigator on their groups.</w:t>
            </w:r>
          </w:p>
          <w:p w14:paraId="4F15FFD3" w14:textId="25FA9351" w:rsidR="00404E2C" w:rsidRPr="000E5646" w:rsidRDefault="00404E2C">
            <w:pPr>
              <w:pStyle w:val="TableText"/>
              <w:numPr>
                <w:ilvl w:val="0"/>
                <w:numId w:val="14"/>
              </w:numPr>
              <w:rPr>
                <w:rFonts w:ascii="Calibri" w:eastAsiaTheme="minorHAnsi" w:hAnsi="Calibri" w:cs="Calibri"/>
                <w:color w:val="002060"/>
                <w:sz w:val="24"/>
                <w:szCs w:val="24"/>
              </w:rPr>
            </w:pPr>
            <w:r w:rsidRPr="000E5646">
              <w:rPr>
                <w:rFonts w:ascii="Calibri" w:eastAsiaTheme="minorHAnsi" w:hAnsi="Calibri" w:cs="Calibri"/>
                <w:color w:val="002060"/>
                <w:sz w:val="24"/>
                <w:szCs w:val="24"/>
              </w:rPr>
              <w:t xml:space="preserve">In addition to the above </w:t>
            </w:r>
            <w:r w:rsidR="00790F20" w:rsidRPr="000E5646">
              <w:rPr>
                <w:rFonts w:ascii="Calibri" w:eastAsiaTheme="minorHAnsi" w:hAnsi="Calibri" w:cs="Calibri"/>
                <w:color w:val="002060"/>
                <w:sz w:val="24"/>
                <w:szCs w:val="24"/>
              </w:rPr>
              <w:t>NSCA’s</w:t>
            </w:r>
          </w:p>
          <w:p w14:paraId="3ECC979C" w14:textId="2A9AA0B5" w:rsidR="00404E2C" w:rsidRPr="000E5646" w:rsidRDefault="00404E2C" w:rsidP="00404E2C">
            <w:pPr>
              <w:pStyle w:val="TableText"/>
              <w:numPr>
                <w:ilvl w:val="1"/>
                <w:numId w:val="14"/>
              </w:numPr>
              <w:rPr>
                <w:rFonts w:ascii="Calibri" w:eastAsiaTheme="minorHAnsi" w:hAnsi="Calibri" w:cs="Calibri"/>
                <w:color w:val="002060"/>
                <w:sz w:val="24"/>
                <w:szCs w:val="24"/>
              </w:rPr>
            </w:pPr>
            <w:r w:rsidRPr="000E5646">
              <w:rPr>
                <w:rFonts w:ascii="Calibri" w:eastAsiaTheme="minorHAnsi" w:hAnsi="Calibri" w:cs="Calibri"/>
                <w:color w:val="002060"/>
                <w:sz w:val="24"/>
                <w:szCs w:val="24"/>
              </w:rPr>
              <w:t xml:space="preserve">Groups 500+ lives require a NSCA to be completed </w:t>
            </w:r>
            <w:r w:rsidR="00790F20" w:rsidRPr="000E5646">
              <w:rPr>
                <w:rFonts w:ascii="Calibri" w:eastAsiaTheme="minorHAnsi" w:hAnsi="Calibri" w:cs="Calibri"/>
                <w:color w:val="002060"/>
                <w:sz w:val="24"/>
                <w:szCs w:val="24"/>
              </w:rPr>
              <w:t xml:space="preserve">by the </w:t>
            </w:r>
            <w:r w:rsidR="00374B2E" w:rsidRPr="000E5646">
              <w:rPr>
                <w:rFonts w:ascii="Calibri" w:eastAsiaTheme="minorHAnsi" w:hAnsi="Calibri" w:cs="Calibri"/>
                <w:color w:val="002060"/>
                <w:sz w:val="24"/>
                <w:szCs w:val="24"/>
              </w:rPr>
              <w:t>underlying</w:t>
            </w:r>
            <w:r w:rsidRPr="000E5646">
              <w:rPr>
                <w:rFonts w:ascii="Calibri" w:eastAsiaTheme="minorHAnsi" w:hAnsi="Calibri" w:cs="Calibri"/>
                <w:color w:val="002060"/>
                <w:sz w:val="24"/>
                <w:szCs w:val="24"/>
              </w:rPr>
              <w:t xml:space="preserve"> Broker</w:t>
            </w:r>
            <w:r w:rsidR="00F4496F" w:rsidRPr="000E5646">
              <w:rPr>
                <w:rFonts w:ascii="Calibri" w:eastAsiaTheme="minorHAnsi" w:hAnsi="Calibri" w:cs="Calibri"/>
                <w:color w:val="002060"/>
                <w:sz w:val="24"/>
                <w:szCs w:val="24"/>
              </w:rPr>
              <w:t xml:space="preserve"> and GIS </w:t>
            </w:r>
            <w:r w:rsidR="0069761B">
              <w:rPr>
                <w:rFonts w:ascii="Calibri" w:eastAsiaTheme="minorHAnsi" w:hAnsi="Calibri" w:cs="Calibri"/>
                <w:color w:val="002060"/>
                <w:sz w:val="24"/>
                <w:szCs w:val="24"/>
              </w:rPr>
              <w:t xml:space="preserve">Benefits </w:t>
            </w:r>
            <w:r w:rsidR="00F4496F" w:rsidRPr="000E5646">
              <w:rPr>
                <w:rFonts w:ascii="Calibri" w:eastAsiaTheme="minorHAnsi" w:hAnsi="Calibri" w:cs="Calibri"/>
                <w:color w:val="002060"/>
                <w:sz w:val="24"/>
                <w:szCs w:val="24"/>
              </w:rPr>
              <w:t xml:space="preserve">as </w:t>
            </w:r>
            <w:r w:rsidRPr="000E5646">
              <w:rPr>
                <w:rFonts w:ascii="Calibri" w:eastAsiaTheme="minorHAnsi" w:hAnsi="Calibri" w:cs="Calibri"/>
                <w:color w:val="002060"/>
                <w:sz w:val="24"/>
                <w:szCs w:val="24"/>
              </w:rPr>
              <w:t>GA</w:t>
            </w:r>
            <w:r w:rsidR="00920A6F" w:rsidRPr="000E5646">
              <w:rPr>
                <w:rFonts w:ascii="Calibri" w:eastAsiaTheme="minorHAnsi" w:hAnsi="Calibri" w:cs="Calibri"/>
                <w:color w:val="002060"/>
                <w:sz w:val="24"/>
                <w:szCs w:val="24"/>
              </w:rPr>
              <w:t xml:space="preserve"> </w:t>
            </w:r>
          </w:p>
          <w:p w14:paraId="46929BEF" w14:textId="4A18B824" w:rsidR="00404E2C" w:rsidRPr="000E5646" w:rsidRDefault="00404E2C" w:rsidP="00404E2C">
            <w:pPr>
              <w:pStyle w:val="TableText"/>
              <w:numPr>
                <w:ilvl w:val="1"/>
                <w:numId w:val="14"/>
              </w:numPr>
              <w:rPr>
                <w:rFonts w:ascii="Calibri" w:eastAsiaTheme="minorHAnsi" w:hAnsi="Calibri" w:cs="Calibri"/>
                <w:color w:val="002060"/>
                <w:sz w:val="24"/>
                <w:szCs w:val="24"/>
              </w:rPr>
            </w:pPr>
            <w:r w:rsidRPr="000E5646">
              <w:rPr>
                <w:rFonts w:ascii="Calibri" w:eastAsiaTheme="minorHAnsi" w:hAnsi="Calibri" w:cs="Calibri"/>
                <w:color w:val="002060"/>
                <w:sz w:val="24"/>
                <w:szCs w:val="24"/>
              </w:rPr>
              <w:lastRenderedPageBreak/>
              <w:t>Groups &lt;500 Lives require NSCA to be completed by the underlying broker if they are being paid non</w:t>
            </w:r>
            <w:r w:rsidR="00F4496F" w:rsidRPr="000E5646">
              <w:rPr>
                <w:rFonts w:ascii="Calibri" w:eastAsiaTheme="minorHAnsi" w:hAnsi="Calibri" w:cs="Calibri"/>
                <w:color w:val="002060"/>
                <w:sz w:val="24"/>
                <w:szCs w:val="24"/>
              </w:rPr>
              <w:t>-</w:t>
            </w:r>
            <w:r w:rsidRPr="000E5646">
              <w:rPr>
                <w:rFonts w:ascii="Calibri" w:eastAsiaTheme="minorHAnsi" w:hAnsi="Calibri" w:cs="Calibri"/>
                <w:color w:val="002060"/>
                <w:sz w:val="24"/>
                <w:szCs w:val="24"/>
              </w:rPr>
              <w:t>standard commissions.</w:t>
            </w:r>
          </w:p>
          <w:p w14:paraId="75427F90" w14:textId="4E8AC15A" w:rsidR="00DB5D44" w:rsidRPr="000E5646" w:rsidRDefault="00DB5D44" w:rsidP="003166A4">
            <w:pPr>
              <w:pStyle w:val="ListParagraph"/>
              <w:numPr>
                <w:ilvl w:val="0"/>
                <w:numId w:val="14"/>
              </w:numPr>
              <w:spacing w:line="276" w:lineRule="auto"/>
              <w:contextualSpacing/>
              <w:rPr>
                <w:color w:val="002060"/>
                <w:sz w:val="24"/>
                <w:szCs w:val="24"/>
              </w:rPr>
            </w:pPr>
            <w:r w:rsidRPr="000E5646">
              <w:rPr>
                <w:color w:val="002060"/>
                <w:sz w:val="24"/>
                <w:szCs w:val="24"/>
              </w:rPr>
              <w:t xml:space="preserve">MetLife will send Structure Letters for Ease and EE Navigator </w:t>
            </w:r>
            <w:hyperlink r:id="rId15" w:history="1">
              <w:r w:rsidRPr="000E5646">
                <w:rPr>
                  <w:rStyle w:val="Hyperlink"/>
                  <w:sz w:val="24"/>
                  <w:szCs w:val="24"/>
                </w:rPr>
                <w:t>builds@gisbenefits.net</w:t>
              </w:r>
            </w:hyperlink>
            <w:r w:rsidRPr="000E5646">
              <w:rPr>
                <w:color w:val="002060"/>
                <w:sz w:val="24"/>
                <w:szCs w:val="24"/>
              </w:rPr>
              <w:t xml:space="preserve"> for file feed setups. Structure Letters will be submitted within 5-7 business days of clean and complete case essential receipt</w:t>
            </w:r>
          </w:p>
          <w:p w14:paraId="13249BA5" w14:textId="77777777" w:rsidR="00DB5D44" w:rsidRPr="000E5646" w:rsidRDefault="00DB5D44" w:rsidP="003166A4">
            <w:pPr>
              <w:pStyle w:val="ListParagraph"/>
              <w:numPr>
                <w:ilvl w:val="0"/>
                <w:numId w:val="14"/>
              </w:numPr>
              <w:spacing w:line="276" w:lineRule="auto"/>
              <w:contextualSpacing/>
              <w:rPr>
                <w:color w:val="002060"/>
                <w:sz w:val="24"/>
                <w:szCs w:val="24"/>
              </w:rPr>
            </w:pPr>
            <w:r w:rsidRPr="000E5646">
              <w:rPr>
                <w:color w:val="002060"/>
                <w:sz w:val="24"/>
                <w:szCs w:val="24"/>
              </w:rPr>
              <w:t>All standard processes for List Bill and Certificate delivery will be followed</w:t>
            </w:r>
          </w:p>
          <w:p w14:paraId="7E73C4CE" w14:textId="3C28666C" w:rsidR="00DB5D44" w:rsidRPr="000E5646" w:rsidRDefault="00DB5D44" w:rsidP="003166A4">
            <w:pPr>
              <w:pStyle w:val="ListParagraph"/>
              <w:numPr>
                <w:ilvl w:val="0"/>
                <w:numId w:val="14"/>
              </w:numPr>
              <w:spacing w:line="276" w:lineRule="auto"/>
              <w:contextualSpacing/>
              <w:rPr>
                <w:color w:val="002060"/>
                <w:sz w:val="24"/>
                <w:szCs w:val="24"/>
              </w:rPr>
            </w:pPr>
            <w:proofErr w:type="spellStart"/>
            <w:r w:rsidRPr="000E5646">
              <w:rPr>
                <w:color w:val="002060"/>
                <w:sz w:val="24"/>
                <w:szCs w:val="24"/>
              </w:rPr>
              <w:t>MetLink</w:t>
            </w:r>
            <w:proofErr w:type="spellEnd"/>
            <w:r w:rsidRPr="000E5646">
              <w:rPr>
                <w:color w:val="002060"/>
                <w:sz w:val="24"/>
                <w:szCs w:val="24"/>
              </w:rPr>
              <w:t xml:space="preserve"> will be set up for each of these customers until the file feed connection has been tested and established.  </w:t>
            </w:r>
            <w:r w:rsidRPr="000E5646">
              <w:rPr>
                <w:b/>
                <w:bCs/>
                <w:color w:val="002060"/>
                <w:sz w:val="24"/>
                <w:szCs w:val="24"/>
              </w:rPr>
              <w:t>Note:</w:t>
            </w:r>
            <w:r w:rsidRPr="000E5646">
              <w:rPr>
                <w:color w:val="002060"/>
                <w:sz w:val="24"/>
                <w:szCs w:val="24"/>
              </w:rPr>
              <w:t xml:space="preserve"> </w:t>
            </w:r>
            <w:proofErr w:type="spellStart"/>
            <w:r w:rsidRPr="000E5646">
              <w:rPr>
                <w:color w:val="002060"/>
                <w:sz w:val="24"/>
                <w:szCs w:val="24"/>
              </w:rPr>
              <w:t>MetLink</w:t>
            </w:r>
            <w:proofErr w:type="spellEnd"/>
            <w:r w:rsidRPr="000E5646">
              <w:rPr>
                <w:color w:val="002060"/>
                <w:sz w:val="24"/>
                <w:szCs w:val="24"/>
              </w:rPr>
              <w:t xml:space="preserve"> will be terminated after file feed is active.</w:t>
            </w:r>
          </w:p>
          <w:p w14:paraId="3A52180F" w14:textId="77777777" w:rsidR="00DB5D44" w:rsidRPr="000E5646" w:rsidRDefault="00DB5D44" w:rsidP="003166A4">
            <w:pPr>
              <w:pStyle w:val="ListParagraph"/>
              <w:numPr>
                <w:ilvl w:val="0"/>
                <w:numId w:val="14"/>
              </w:numPr>
              <w:spacing w:line="276" w:lineRule="auto"/>
              <w:contextualSpacing/>
              <w:rPr>
                <w:color w:val="002060"/>
                <w:sz w:val="24"/>
                <w:szCs w:val="24"/>
              </w:rPr>
            </w:pPr>
            <w:r w:rsidRPr="000E5646">
              <w:rPr>
                <w:color w:val="002060"/>
                <w:sz w:val="24"/>
                <w:szCs w:val="24"/>
              </w:rPr>
              <w:t>MetLife will include all new groups and/or add coverages onto the existing file feed. The setup takes approximately 8 weeks for testing and live production.</w:t>
            </w:r>
          </w:p>
          <w:p w14:paraId="3F47612F" w14:textId="77777777" w:rsidR="002429F0" w:rsidRPr="000E5646" w:rsidRDefault="002429F0" w:rsidP="00DB5D44">
            <w:pPr>
              <w:spacing w:line="276" w:lineRule="auto"/>
              <w:contextualSpacing/>
              <w:rPr>
                <w:b/>
                <w:bCs/>
                <w:color w:val="002060"/>
                <w:sz w:val="24"/>
                <w:szCs w:val="24"/>
                <w:u w:val="single"/>
              </w:rPr>
            </w:pPr>
          </w:p>
        </w:tc>
      </w:tr>
      <w:tr w:rsidR="00DB5D44" w:rsidRPr="000E5646" w14:paraId="4FA7C4CB" w14:textId="77777777" w:rsidTr="000E5646">
        <w:tc>
          <w:tcPr>
            <w:tcW w:w="1831" w:type="dxa"/>
            <w:shd w:val="clear" w:color="auto" w:fill="F2F2F2" w:themeFill="background1" w:themeFillShade="F2"/>
            <w:vAlign w:val="center"/>
          </w:tcPr>
          <w:p w14:paraId="794E7D59" w14:textId="0E41E2F8" w:rsidR="00DB5D44" w:rsidRPr="000E5646" w:rsidRDefault="00DB5D44" w:rsidP="002429F0">
            <w:pPr>
              <w:rPr>
                <w:b/>
                <w:bCs/>
                <w:color w:val="002060"/>
                <w:sz w:val="24"/>
                <w:szCs w:val="24"/>
              </w:rPr>
            </w:pPr>
            <w:r w:rsidRPr="000E5646">
              <w:rPr>
                <w:b/>
                <w:bCs/>
                <w:color w:val="002060"/>
                <w:sz w:val="24"/>
                <w:szCs w:val="24"/>
              </w:rPr>
              <w:lastRenderedPageBreak/>
              <w:t>Service</w:t>
            </w:r>
          </w:p>
        </w:tc>
        <w:tc>
          <w:tcPr>
            <w:tcW w:w="9149" w:type="dxa"/>
          </w:tcPr>
          <w:p w14:paraId="54E30175" w14:textId="45C77BC8" w:rsidR="00DB5D44" w:rsidRPr="000E5646" w:rsidRDefault="0073241C" w:rsidP="00DB5D44">
            <w:pPr>
              <w:pStyle w:val="ListParagraph"/>
              <w:numPr>
                <w:ilvl w:val="0"/>
                <w:numId w:val="14"/>
              </w:numPr>
              <w:spacing w:line="276" w:lineRule="auto"/>
              <w:ind w:left="268" w:hanging="180"/>
              <w:contextualSpacing/>
              <w:rPr>
                <w:color w:val="002060"/>
                <w:sz w:val="24"/>
                <w:szCs w:val="24"/>
              </w:rPr>
            </w:pPr>
            <w:r w:rsidRPr="000E5646">
              <w:rPr>
                <w:color w:val="002060"/>
                <w:sz w:val="24"/>
                <w:szCs w:val="24"/>
              </w:rPr>
              <w:t>Groups under 100 lives will be serviced through Small Market</w:t>
            </w:r>
          </w:p>
          <w:p w14:paraId="532BBABD" w14:textId="7FE145F3" w:rsidR="0073241C" w:rsidRPr="000E5646" w:rsidRDefault="0073241C" w:rsidP="00DB5D44">
            <w:pPr>
              <w:pStyle w:val="ListParagraph"/>
              <w:numPr>
                <w:ilvl w:val="0"/>
                <w:numId w:val="14"/>
              </w:numPr>
              <w:spacing w:line="276" w:lineRule="auto"/>
              <w:ind w:left="268" w:hanging="180"/>
              <w:contextualSpacing/>
              <w:rPr>
                <w:color w:val="002060"/>
                <w:sz w:val="24"/>
                <w:szCs w:val="24"/>
              </w:rPr>
            </w:pPr>
            <w:r w:rsidRPr="000E5646">
              <w:rPr>
                <w:color w:val="002060"/>
                <w:sz w:val="24"/>
                <w:szCs w:val="24"/>
              </w:rPr>
              <w:t>Groups over 100 lives will be serviced within the Regional Market teams</w:t>
            </w:r>
          </w:p>
        </w:tc>
      </w:tr>
      <w:tr w:rsidR="008E4B1E" w:rsidRPr="000E5646" w14:paraId="6EDD0421" w14:textId="77777777" w:rsidTr="00D215DA">
        <w:trPr>
          <w:trHeight w:val="1070"/>
        </w:trPr>
        <w:tc>
          <w:tcPr>
            <w:tcW w:w="1831" w:type="dxa"/>
            <w:shd w:val="clear" w:color="auto" w:fill="F2F2F2" w:themeFill="background1" w:themeFillShade="F2"/>
            <w:vAlign w:val="center"/>
          </w:tcPr>
          <w:p w14:paraId="7B1D7493" w14:textId="77777777" w:rsidR="008E4B1E" w:rsidRPr="000E5646" w:rsidRDefault="008E4B1E" w:rsidP="008E4B1E">
            <w:pPr>
              <w:rPr>
                <w:b/>
                <w:bCs/>
                <w:color w:val="002060"/>
                <w:sz w:val="24"/>
                <w:szCs w:val="24"/>
              </w:rPr>
            </w:pPr>
            <w:r w:rsidRPr="000E5646">
              <w:rPr>
                <w:b/>
                <w:bCs/>
                <w:color w:val="002060"/>
                <w:sz w:val="24"/>
                <w:szCs w:val="24"/>
              </w:rPr>
              <w:t>Sample NSCA for Ease</w:t>
            </w:r>
          </w:p>
          <w:p w14:paraId="54A6037E" w14:textId="77777777" w:rsidR="008E4B1E" w:rsidRPr="000E5646" w:rsidRDefault="008E4B1E" w:rsidP="002429F0">
            <w:pPr>
              <w:rPr>
                <w:b/>
                <w:bCs/>
                <w:color w:val="002060"/>
                <w:sz w:val="24"/>
                <w:szCs w:val="24"/>
              </w:rPr>
            </w:pPr>
          </w:p>
        </w:tc>
        <w:tc>
          <w:tcPr>
            <w:tcW w:w="9149" w:type="dxa"/>
            <w:vAlign w:val="center"/>
          </w:tcPr>
          <w:p w14:paraId="7FE0D1C9" w14:textId="58EB66BF" w:rsidR="008E4B1E" w:rsidRPr="000E5646" w:rsidRDefault="00635B3B" w:rsidP="00D215DA">
            <w:pPr>
              <w:spacing w:line="276" w:lineRule="auto"/>
              <w:contextualSpacing/>
              <w:rPr>
                <w:color w:val="002060"/>
                <w:sz w:val="24"/>
                <w:szCs w:val="24"/>
              </w:rPr>
            </w:pPr>
            <w:r w:rsidRPr="000E5646">
              <w:rPr>
                <w:sz w:val="24"/>
                <w:szCs w:val="24"/>
              </w:rPr>
              <w:object w:dxaOrig="1311" w:dyaOrig="849" w14:anchorId="1BD1C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2pt" o:ole="">
                  <v:imagedata r:id="rId16" o:title=""/>
                </v:shape>
                <o:OLEObject Type="Embed" ProgID="Acrobat.Document.DC" ShapeID="_x0000_i1025" DrawAspect="Icon" ObjectID="_1742042308" r:id="rId17"/>
              </w:object>
            </w:r>
          </w:p>
        </w:tc>
      </w:tr>
    </w:tbl>
    <w:p w14:paraId="553382AA" w14:textId="34289D68" w:rsidR="008D0217" w:rsidRPr="003E65C0" w:rsidRDefault="008D0217" w:rsidP="000B1133">
      <w:pPr>
        <w:rPr>
          <w:b/>
          <w:bCs/>
          <w:color w:val="002060"/>
          <w:u w:val="single"/>
        </w:rPr>
      </w:pPr>
    </w:p>
    <w:p w14:paraId="5A50CB70" w14:textId="4DA012BA" w:rsidR="008E4B1E" w:rsidRPr="00D215DA" w:rsidRDefault="004337D1" w:rsidP="000B1133">
      <w:pPr>
        <w:rPr>
          <w:color w:val="002060"/>
        </w:rPr>
      </w:pPr>
      <w:r w:rsidRPr="00D215DA">
        <w:rPr>
          <w:color w:val="002060"/>
        </w:rPr>
        <w:t xml:space="preserve">All compensation rates contained herein are subject to change. MetLife shall not pay any compensation if such compensation would exceed the amount permitted under MetLife’s filed schedules of group insurance commission </w:t>
      </w:r>
      <w:proofErr w:type="gramStart"/>
      <w:r w:rsidRPr="00D215DA">
        <w:rPr>
          <w:color w:val="002060"/>
        </w:rPr>
        <w:t>rates, or</w:t>
      </w:r>
      <w:proofErr w:type="gramEnd"/>
      <w:r w:rsidRPr="00D215DA">
        <w:rPr>
          <w:color w:val="002060"/>
        </w:rPr>
        <w:t xml:space="preserve"> would violate applicable laws or regulations.</w:t>
      </w:r>
    </w:p>
    <w:sectPr w:rsidR="008E4B1E" w:rsidRPr="00D215DA" w:rsidSect="000E5646">
      <w:headerReference w:type="default" r:id="rId18"/>
      <w:footerReference w:type="default" r:id="rId19"/>
      <w:pgSz w:w="12240" w:h="15840"/>
      <w:pgMar w:top="1440"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823C" w14:textId="77777777" w:rsidR="00C35A3B" w:rsidRDefault="00C35A3B" w:rsidP="000B1133">
      <w:r>
        <w:separator/>
      </w:r>
    </w:p>
  </w:endnote>
  <w:endnote w:type="continuationSeparator" w:id="0">
    <w:p w14:paraId="1C7E180C" w14:textId="77777777" w:rsidR="00C35A3B" w:rsidRDefault="00C35A3B" w:rsidP="000B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7344" w14:textId="2D8F0EB9" w:rsidR="00331F91" w:rsidRPr="00331F91" w:rsidRDefault="00331F91" w:rsidP="00331F91">
    <w:pPr>
      <w:tabs>
        <w:tab w:val="center" w:pos="4680"/>
        <w:tab w:val="right" w:pos="9360"/>
      </w:tabs>
      <w:jc w:val="right"/>
      <w:rPr>
        <w:rFonts w:ascii="Arial" w:hAnsi="Arial" w:cs="Arial"/>
        <w:color w:val="808080" w:themeColor="background1" w:themeShade="80"/>
        <w:sz w:val="17"/>
        <w:szCs w:val="17"/>
      </w:rPr>
    </w:pPr>
    <w:r w:rsidRPr="00331F91">
      <w:rPr>
        <w:rFonts w:ascii="Arial" w:hAnsi="Arial" w:cs="Arial"/>
        <w:color w:val="808080" w:themeColor="background1" w:themeShade="80"/>
        <w:sz w:val="17"/>
        <w:szCs w:val="17"/>
      </w:rPr>
      <w:t>Metropolitan Life Insurance Company | 200 Park Avenue | New York, NY 10166</w:t>
    </w:r>
  </w:p>
  <w:p w14:paraId="18DBF432" w14:textId="77777777" w:rsidR="002F082D" w:rsidRPr="002F082D" w:rsidRDefault="002F082D" w:rsidP="00D215DA">
    <w:pPr>
      <w:tabs>
        <w:tab w:val="center" w:pos="4680"/>
        <w:tab w:val="right" w:pos="9360"/>
      </w:tabs>
      <w:jc w:val="right"/>
      <w:rPr>
        <w:rFonts w:ascii="Arial" w:hAnsi="Arial" w:cs="Arial"/>
        <w:color w:val="808080" w:themeColor="background1" w:themeShade="80"/>
        <w:sz w:val="17"/>
        <w:szCs w:val="17"/>
      </w:rPr>
    </w:pPr>
    <w:r w:rsidRPr="002F082D">
      <w:rPr>
        <w:rFonts w:ascii="Arial" w:hAnsi="Arial" w:cs="Arial"/>
        <w:color w:val="808080" w:themeColor="background1" w:themeShade="80"/>
        <w:sz w:val="17"/>
        <w:szCs w:val="17"/>
      </w:rPr>
      <w:t>L0323029889[exp0325][All States]</w:t>
    </w:r>
  </w:p>
  <w:p w14:paraId="7F090D99" w14:textId="4250FA2F" w:rsidR="00331F91" w:rsidRPr="00D215DA" w:rsidRDefault="00331F91" w:rsidP="00D215DA">
    <w:pPr>
      <w:tabs>
        <w:tab w:val="center" w:pos="4680"/>
        <w:tab w:val="right" w:pos="9360"/>
      </w:tabs>
      <w:jc w:val="right"/>
      <w:rPr>
        <w:rFonts w:asciiTheme="minorHAnsi" w:hAnsiTheme="minorHAnsi" w:cstheme="minorBidi"/>
      </w:rPr>
    </w:pPr>
    <w:r w:rsidRPr="00331F91">
      <w:rPr>
        <w:rFonts w:ascii="Arial" w:hAnsi="Arial" w:cs="Arial"/>
        <w:color w:val="808080" w:themeColor="background1" w:themeShade="80"/>
        <w:sz w:val="17"/>
        <w:szCs w:val="17"/>
      </w:rPr>
      <w:t xml:space="preserve">© </w:t>
    </w:r>
    <w:r w:rsidR="0083280A">
      <w:rPr>
        <w:rFonts w:ascii="Arial" w:hAnsi="Arial" w:cs="Arial"/>
        <w:color w:val="808080" w:themeColor="background1" w:themeShade="80"/>
        <w:sz w:val="17"/>
        <w:szCs w:val="17"/>
      </w:rPr>
      <w:t>2023</w:t>
    </w:r>
    <w:r w:rsidRPr="00331F91">
      <w:rPr>
        <w:rFonts w:ascii="Arial" w:hAnsi="Arial" w:cs="Arial"/>
        <w:color w:val="808080" w:themeColor="background1" w:themeShade="80"/>
        <w:sz w:val="17"/>
        <w:szCs w:val="17"/>
      </w:rPr>
      <w:t xml:space="preserve"> MetLife Service and Solutions,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7E87A" w14:textId="77777777" w:rsidR="00C35A3B" w:rsidRDefault="00C35A3B" w:rsidP="000B1133">
      <w:r>
        <w:separator/>
      </w:r>
    </w:p>
  </w:footnote>
  <w:footnote w:type="continuationSeparator" w:id="0">
    <w:p w14:paraId="28CE8833" w14:textId="77777777" w:rsidR="00C35A3B" w:rsidRDefault="00C35A3B" w:rsidP="000B1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D1B2" w14:textId="0100EA4D" w:rsidR="000B1133" w:rsidRDefault="000B1133">
    <w:pPr>
      <w:pStyle w:val="Header"/>
    </w:pPr>
    <w:r>
      <w:rPr>
        <w:noProof/>
      </w:rPr>
      <w:drawing>
        <wp:inline distT="0" distB="0" distL="0" distR="0" wp14:anchorId="045309A7" wp14:editId="61CA32F9">
          <wp:extent cx="5943600" cy="528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43600" cy="528955"/>
                  </a:xfrm>
                  <a:prstGeom prst="rect">
                    <a:avLst/>
                  </a:prstGeom>
                </pic:spPr>
              </pic:pic>
            </a:graphicData>
          </a:graphic>
        </wp:inline>
      </w:drawing>
    </w:r>
  </w:p>
  <w:p w14:paraId="1B29315D" w14:textId="05DFE9C7" w:rsidR="008D0217" w:rsidRDefault="008D0217" w:rsidP="008D0217">
    <w:pPr>
      <w:pStyle w:val="Header"/>
      <w:jc w:val="right"/>
      <w:rPr>
        <w:b/>
        <w:bCs/>
        <w:color w:val="002060"/>
        <w:sz w:val="24"/>
        <w:szCs w:val="24"/>
      </w:rPr>
    </w:pPr>
    <w:r w:rsidRPr="008D0217">
      <w:rPr>
        <w:b/>
        <w:bCs/>
        <w:color w:val="002060"/>
        <w:sz w:val="24"/>
        <w:szCs w:val="24"/>
      </w:rPr>
      <w:t xml:space="preserve">GIS </w:t>
    </w:r>
    <w:r w:rsidR="0069761B">
      <w:rPr>
        <w:b/>
        <w:bCs/>
        <w:color w:val="002060"/>
        <w:sz w:val="24"/>
        <w:szCs w:val="24"/>
      </w:rPr>
      <w:t xml:space="preserve">Benefits </w:t>
    </w:r>
    <w:r w:rsidR="006B4E50">
      <w:rPr>
        <w:b/>
        <w:bCs/>
        <w:color w:val="002060"/>
        <w:sz w:val="24"/>
        <w:szCs w:val="24"/>
      </w:rPr>
      <w:t>Hybrid Process</w:t>
    </w:r>
  </w:p>
  <w:p w14:paraId="379CD96E" w14:textId="77777777" w:rsidR="00D215DA" w:rsidRPr="008D0217" w:rsidRDefault="00D215DA" w:rsidP="008D0217">
    <w:pPr>
      <w:pStyle w:val="Header"/>
      <w:jc w:val="right"/>
      <w:rPr>
        <w:b/>
        <w:bCs/>
        <w:color w:val="002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159"/>
    <w:multiLevelType w:val="hybridMultilevel"/>
    <w:tmpl w:val="24A8B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57F9D"/>
    <w:multiLevelType w:val="hybridMultilevel"/>
    <w:tmpl w:val="DF7061D8"/>
    <w:lvl w:ilvl="0" w:tplc="862A70DA">
      <w:numFmt w:val="bullet"/>
      <w:lvlText w:val="-"/>
      <w:lvlJc w:val="left"/>
      <w:pPr>
        <w:ind w:left="720" w:hanging="360"/>
      </w:pPr>
      <w:rPr>
        <w:rFonts w:ascii="Calibri" w:eastAsia="Calibri" w:hAnsi="Calibri" w:cs="Calibri"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7554B"/>
    <w:multiLevelType w:val="hybridMultilevel"/>
    <w:tmpl w:val="BE6A87A2"/>
    <w:lvl w:ilvl="0" w:tplc="862A70DA">
      <w:numFmt w:val="bullet"/>
      <w:lvlText w:val="-"/>
      <w:lvlJc w:val="left"/>
      <w:pPr>
        <w:ind w:left="781" w:hanging="360"/>
      </w:pPr>
      <w:rPr>
        <w:rFonts w:ascii="Calibri" w:eastAsia="Calibri" w:hAnsi="Calibri" w:cs="Calibri" w:hint="default"/>
      </w:rPr>
    </w:lvl>
    <w:lvl w:ilvl="1" w:tplc="04090005">
      <w:start w:val="1"/>
      <w:numFmt w:val="bullet"/>
      <w:lvlText w:val=""/>
      <w:lvlJc w:val="left"/>
      <w:pPr>
        <w:ind w:left="1501" w:hanging="360"/>
      </w:pPr>
      <w:rPr>
        <w:rFonts w:ascii="Wingdings" w:hAnsi="Wingdings" w:hint="default"/>
      </w:rPr>
    </w:lvl>
    <w:lvl w:ilvl="2" w:tplc="04090001">
      <w:start w:val="1"/>
      <w:numFmt w:val="bullet"/>
      <w:lvlText w:val=""/>
      <w:lvlJc w:val="left"/>
      <w:pPr>
        <w:ind w:left="2221" w:hanging="360"/>
      </w:pPr>
      <w:rPr>
        <w:rFonts w:ascii="Symbol" w:hAnsi="Symbol"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1">
      <w:start w:val="1"/>
      <w:numFmt w:val="bullet"/>
      <w:lvlText w:val=""/>
      <w:lvlJc w:val="left"/>
      <w:pPr>
        <w:ind w:left="4381" w:hanging="360"/>
      </w:pPr>
      <w:rPr>
        <w:rFonts w:ascii="Symbol" w:hAnsi="Symbol" w:hint="default"/>
      </w:rPr>
    </w:lvl>
    <w:lvl w:ilvl="6" w:tplc="0409000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0D232E84"/>
    <w:multiLevelType w:val="hybridMultilevel"/>
    <w:tmpl w:val="724061E0"/>
    <w:lvl w:ilvl="0" w:tplc="3C24A21A">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7B62F0"/>
    <w:multiLevelType w:val="hybridMultilevel"/>
    <w:tmpl w:val="A1642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B32D8"/>
    <w:multiLevelType w:val="hybridMultilevel"/>
    <w:tmpl w:val="7512B6EE"/>
    <w:lvl w:ilvl="0" w:tplc="862A70D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F2A01"/>
    <w:multiLevelType w:val="hybridMultilevel"/>
    <w:tmpl w:val="49C6A684"/>
    <w:lvl w:ilvl="0" w:tplc="862A70D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E6C71"/>
    <w:multiLevelType w:val="hybridMultilevel"/>
    <w:tmpl w:val="EC8407F2"/>
    <w:lvl w:ilvl="0" w:tplc="862A70D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5165C"/>
    <w:multiLevelType w:val="hybridMultilevel"/>
    <w:tmpl w:val="265E412E"/>
    <w:lvl w:ilvl="0" w:tplc="862A70D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D1291E"/>
    <w:multiLevelType w:val="hybridMultilevel"/>
    <w:tmpl w:val="2C4EF5E4"/>
    <w:lvl w:ilvl="0" w:tplc="04090005">
      <w:start w:val="1"/>
      <w:numFmt w:val="bullet"/>
      <w:lvlText w:val=""/>
      <w:lvlJc w:val="left"/>
      <w:pPr>
        <w:ind w:left="4381" w:hanging="360"/>
      </w:pPr>
      <w:rPr>
        <w:rFonts w:ascii="Wingdings" w:hAnsi="Wingdings" w:hint="default"/>
      </w:rPr>
    </w:lvl>
    <w:lvl w:ilvl="1" w:tplc="04090003" w:tentative="1">
      <w:start w:val="1"/>
      <w:numFmt w:val="bullet"/>
      <w:lvlText w:val="o"/>
      <w:lvlJc w:val="left"/>
      <w:pPr>
        <w:ind w:left="5101" w:hanging="360"/>
      </w:pPr>
      <w:rPr>
        <w:rFonts w:ascii="Courier New" w:hAnsi="Courier New" w:cs="Courier New" w:hint="default"/>
      </w:rPr>
    </w:lvl>
    <w:lvl w:ilvl="2" w:tplc="04090005" w:tentative="1">
      <w:start w:val="1"/>
      <w:numFmt w:val="bullet"/>
      <w:lvlText w:val=""/>
      <w:lvlJc w:val="left"/>
      <w:pPr>
        <w:ind w:left="5821" w:hanging="360"/>
      </w:pPr>
      <w:rPr>
        <w:rFonts w:ascii="Wingdings" w:hAnsi="Wingdings" w:hint="default"/>
      </w:rPr>
    </w:lvl>
    <w:lvl w:ilvl="3" w:tplc="04090001" w:tentative="1">
      <w:start w:val="1"/>
      <w:numFmt w:val="bullet"/>
      <w:lvlText w:val=""/>
      <w:lvlJc w:val="left"/>
      <w:pPr>
        <w:ind w:left="6541" w:hanging="360"/>
      </w:pPr>
      <w:rPr>
        <w:rFonts w:ascii="Symbol" w:hAnsi="Symbol" w:hint="default"/>
      </w:rPr>
    </w:lvl>
    <w:lvl w:ilvl="4" w:tplc="04090003">
      <w:start w:val="1"/>
      <w:numFmt w:val="bullet"/>
      <w:lvlText w:val="o"/>
      <w:lvlJc w:val="left"/>
      <w:pPr>
        <w:ind w:left="7261" w:hanging="360"/>
      </w:pPr>
      <w:rPr>
        <w:rFonts w:ascii="Courier New" w:hAnsi="Courier New" w:cs="Courier New" w:hint="default"/>
      </w:rPr>
    </w:lvl>
    <w:lvl w:ilvl="5" w:tplc="04090005" w:tentative="1">
      <w:start w:val="1"/>
      <w:numFmt w:val="bullet"/>
      <w:lvlText w:val=""/>
      <w:lvlJc w:val="left"/>
      <w:pPr>
        <w:ind w:left="7981" w:hanging="360"/>
      </w:pPr>
      <w:rPr>
        <w:rFonts w:ascii="Wingdings" w:hAnsi="Wingdings" w:hint="default"/>
      </w:rPr>
    </w:lvl>
    <w:lvl w:ilvl="6" w:tplc="04090001">
      <w:start w:val="1"/>
      <w:numFmt w:val="bullet"/>
      <w:lvlText w:val=""/>
      <w:lvlJc w:val="left"/>
      <w:pPr>
        <w:ind w:left="8701" w:hanging="360"/>
      </w:pPr>
      <w:rPr>
        <w:rFonts w:ascii="Symbol" w:hAnsi="Symbol" w:hint="default"/>
      </w:rPr>
    </w:lvl>
    <w:lvl w:ilvl="7" w:tplc="04090003" w:tentative="1">
      <w:start w:val="1"/>
      <w:numFmt w:val="bullet"/>
      <w:lvlText w:val="o"/>
      <w:lvlJc w:val="left"/>
      <w:pPr>
        <w:ind w:left="9421" w:hanging="360"/>
      </w:pPr>
      <w:rPr>
        <w:rFonts w:ascii="Courier New" w:hAnsi="Courier New" w:cs="Courier New" w:hint="default"/>
      </w:rPr>
    </w:lvl>
    <w:lvl w:ilvl="8" w:tplc="04090005" w:tentative="1">
      <w:start w:val="1"/>
      <w:numFmt w:val="bullet"/>
      <w:lvlText w:val=""/>
      <w:lvlJc w:val="left"/>
      <w:pPr>
        <w:ind w:left="10141" w:hanging="360"/>
      </w:pPr>
      <w:rPr>
        <w:rFonts w:ascii="Wingdings" w:hAnsi="Wingdings" w:hint="default"/>
      </w:rPr>
    </w:lvl>
  </w:abstractNum>
  <w:abstractNum w:abstractNumId="10" w15:restartNumberingAfterBreak="0">
    <w:nsid w:val="38A3007A"/>
    <w:multiLevelType w:val="hybridMultilevel"/>
    <w:tmpl w:val="FFC60D0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35172"/>
    <w:multiLevelType w:val="hybridMultilevel"/>
    <w:tmpl w:val="7F10F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9659B1"/>
    <w:multiLevelType w:val="hybridMultilevel"/>
    <w:tmpl w:val="27A6714C"/>
    <w:lvl w:ilvl="0" w:tplc="862A70D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15981"/>
    <w:multiLevelType w:val="hybridMultilevel"/>
    <w:tmpl w:val="D2603C6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200CB"/>
    <w:multiLevelType w:val="hybridMultilevel"/>
    <w:tmpl w:val="507610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C440C0"/>
    <w:multiLevelType w:val="hybridMultilevel"/>
    <w:tmpl w:val="A8B00580"/>
    <w:lvl w:ilvl="0" w:tplc="862A70DA">
      <w:numFmt w:val="bullet"/>
      <w:lvlText w:val="-"/>
      <w:lvlJc w:val="left"/>
      <w:pPr>
        <w:ind w:left="781" w:hanging="360"/>
      </w:pPr>
      <w:rPr>
        <w:rFonts w:ascii="Calibri" w:eastAsia="Calibri" w:hAnsi="Calibri" w:cs="Calibri"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6" w15:restartNumberingAfterBreak="0">
    <w:nsid w:val="6EBF6AA6"/>
    <w:multiLevelType w:val="singleLevel"/>
    <w:tmpl w:val="83DE7666"/>
    <w:lvl w:ilvl="0">
      <w:start w:val="1"/>
      <w:numFmt w:val="bullet"/>
      <w:pStyle w:val="Discussion"/>
      <w:lvlText w:val=""/>
      <w:lvlJc w:val="left"/>
      <w:pPr>
        <w:tabs>
          <w:tab w:val="num" w:pos="360"/>
        </w:tabs>
        <w:ind w:left="360" w:hanging="360"/>
      </w:pPr>
      <w:rPr>
        <w:rFonts w:ascii="Symbol" w:hAnsi="Symbol" w:hint="default"/>
      </w:rPr>
    </w:lvl>
  </w:abstractNum>
  <w:abstractNum w:abstractNumId="17" w15:restartNumberingAfterBreak="0">
    <w:nsid w:val="6F4571AC"/>
    <w:multiLevelType w:val="hybridMultilevel"/>
    <w:tmpl w:val="AE22BB02"/>
    <w:lvl w:ilvl="0" w:tplc="862A70DA">
      <w:numFmt w:val="bullet"/>
      <w:lvlText w:val="-"/>
      <w:lvlJc w:val="left"/>
      <w:pPr>
        <w:ind w:left="360" w:hanging="360"/>
      </w:pPr>
      <w:rPr>
        <w:rFonts w:ascii="Calibri" w:eastAsia="Calibri" w:hAnsi="Calibri" w:cs="Calibri"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5">
      <w:start w:val="1"/>
      <w:numFmt w:val="bullet"/>
      <w:lvlText w:val=""/>
      <w:lvlJc w:val="left"/>
      <w:pPr>
        <w:ind w:left="3240" w:hanging="360"/>
      </w:pPr>
      <w:rPr>
        <w:rFonts w:ascii="Wingdings" w:hAnsi="Wingdings"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79202A"/>
    <w:multiLevelType w:val="hybridMultilevel"/>
    <w:tmpl w:val="6978B9D8"/>
    <w:lvl w:ilvl="0" w:tplc="862A70DA">
      <w:numFmt w:val="bullet"/>
      <w:lvlText w:val="-"/>
      <w:lvlJc w:val="left"/>
      <w:pPr>
        <w:ind w:left="720" w:hanging="360"/>
      </w:pPr>
      <w:rPr>
        <w:rFonts w:ascii="Calibri" w:eastAsia="Calibri" w:hAnsi="Calibri" w:cs="Calibri"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570F2"/>
    <w:multiLevelType w:val="hybridMultilevel"/>
    <w:tmpl w:val="8F72A6F8"/>
    <w:lvl w:ilvl="0" w:tplc="862A70DA">
      <w:numFmt w:val="bullet"/>
      <w:lvlText w:val="-"/>
      <w:lvlJc w:val="left"/>
      <w:pPr>
        <w:ind w:left="781" w:hanging="360"/>
      </w:pPr>
      <w:rPr>
        <w:rFonts w:ascii="Calibri" w:eastAsia="Calibri" w:hAnsi="Calibri" w:cs="Calibri" w:hint="default"/>
      </w:rPr>
    </w:lvl>
    <w:lvl w:ilvl="1" w:tplc="04090005">
      <w:start w:val="1"/>
      <w:numFmt w:val="bullet"/>
      <w:lvlText w:val=""/>
      <w:lvlJc w:val="left"/>
      <w:pPr>
        <w:ind w:left="1501" w:hanging="360"/>
      </w:pPr>
      <w:rPr>
        <w:rFonts w:ascii="Wingdings" w:hAnsi="Wingdings" w:hint="default"/>
      </w:rPr>
    </w:lvl>
    <w:lvl w:ilvl="2" w:tplc="04090001">
      <w:start w:val="1"/>
      <w:numFmt w:val="bullet"/>
      <w:lvlText w:val=""/>
      <w:lvlJc w:val="left"/>
      <w:pPr>
        <w:ind w:left="2221" w:hanging="360"/>
      </w:pPr>
      <w:rPr>
        <w:rFonts w:ascii="Symbol" w:hAnsi="Symbol"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0" w15:restartNumberingAfterBreak="0">
    <w:nsid w:val="7B4428DE"/>
    <w:multiLevelType w:val="hybridMultilevel"/>
    <w:tmpl w:val="FCF63618"/>
    <w:lvl w:ilvl="0" w:tplc="862A70D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832BF9"/>
    <w:multiLevelType w:val="hybridMultilevel"/>
    <w:tmpl w:val="C5CEE652"/>
    <w:lvl w:ilvl="0" w:tplc="862A70DA">
      <w:numFmt w:val="bullet"/>
      <w:lvlText w:val="-"/>
      <w:lvlJc w:val="left"/>
      <w:pPr>
        <w:ind w:left="781" w:hanging="360"/>
      </w:pPr>
      <w:rPr>
        <w:rFonts w:ascii="Calibri" w:eastAsia="Calibri" w:hAnsi="Calibri" w:cs="Calibri"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1043554062">
    <w:abstractNumId w:val="8"/>
  </w:num>
  <w:num w:numId="2" w16cid:durableId="1011371526">
    <w:abstractNumId w:val="11"/>
  </w:num>
  <w:num w:numId="3" w16cid:durableId="2039815247">
    <w:abstractNumId w:val="16"/>
  </w:num>
  <w:num w:numId="4" w16cid:durableId="752967455">
    <w:abstractNumId w:val="3"/>
  </w:num>
  <w:num w:numId="5" w16cid:durableId="1494566085">
    <w:abstractNumId w:val="14"/>
  </w:num>
  <w:num w:numId="6" w16cid:durableId="253586764">
    <w:abstractNumId w:val="4"/>
  </w:num>
  <w:num w:numId="7" w16cid:durableId="1951081876">
    <w:abstractNumId w:val="20"/>
  </w:num>
  <w:num w:numId="8" w16cid:durableId="920943391">
    <w:abstractNumId w:val="0"/>
  </w:num>
  <w:num w:numId="9" w16cid:durableId="1952783883">
    <w:abstractNumId w:val="12"/>
  </w:num>
  <w:num w:numId="10" w16cid:durableId="1986011053">
    <w:abstractNumId w:val="6"/>
  </w:num>
  <w:num w:numId="11" w16cid:durableId="791441857">
    <w:abstractNumId w:val="1"/>
  </w:num>
  <w:num w:numId="12" w16cid:durableId="1899511184">
    <w:abstractNumId w:val="15"/>
  </w:num>
  <w:num w:numId="13" w16cid:durableId="1705250885">
    <w:abstractNumId w:val="21"/>
  </w:num>
  <w:num w:numId="14" w16cid:durableId="1905873349">
    <w:abstractNumId w:val="17"/>
  </w:num>
  <w:num w:numId="15" w16cid:durableId="752973690">
    <w:abstractNumId w:val="7"/>
  </w:num>
  <w:num w:numId="16" w16cid:durableId="780564358">
    <w:abstractNumId w:val="5"/>
  </w:num>
  <w:num w:numId="17" w16cid:durableId="1307011721">
    <w:abstractNumId w:val="2"/>
  </w:num>
  <w:num w:numId="18" w16cid:durableId="1883008498">
    <w:abstractNumId w:val="18"/>
  </w:num>
  <w:num w:numId="19" w16cid:durableId="538323514">
    <w:abstractNumId w:val="10"/>
  </w:num>
  <w:num w:numId="20" w16cid:durableId="1162740129">
    <w:abstractNumId w:val="13"/>
  </w:num>
  <w:num w:numId="21" w16cid:durableId="283775055">
    <w:abstractNumId w:val="19"/>
  </w:num>
  <w:num w:numId="22" w16cid:durableId="338118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59yRHGXxnHGsgCKkWEzFo/vzpn2xAWEyiYgh8ps8hxkavyPEoeSS4TXhx1oe5dBdJ87oVNpB3b0yPmF9FHN2bw==" w:salt="fVGKjkaEgj0ZiY7xIcXS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33"/>
    <w:rsid w:val="00013FCD"/>
    <w:rsid w:val="00014614"/>
    <w:rsid w:val="00064262"/>
    <w:rsid w:val="00092CBD"/>
    <w:rsid w:val="000A5E3A"/>
    <w:rsid w:val="000B1133"/>
    <w:rsid w:val="000C04A0"/>
    <w:rsid w:val="000E2393"/>
    <w:rsid w:val="000E5646"/>
    <w:rsid w:val="00145416"/>
    <w:rsid w:val="001469FE"/>
    <w:rsid w:val="00151883"/>
    <w:rsid w:val="001771BF"/>
    <w:rsid w:val="001E1590"/>
    <w:rsid w:val="002064BD"/>
    <w:rsid w:val="002273A3"/>
    <w:rsid w:val="002429F0"/>
    <w:rsid w:val="002A336F"/>
    <w:rsid w:val="002C5666"/>
    <w:rsid w:val="002D0F79"/>
    <w:rsid w:val="002E4C80"/>
    <w:rsid w:val="002F082D"/>
    <w:rsid w:val="003008C3"/>
    <w:rsid w:val="003166A4"/>
    <w:rsid w:val="00331F91"/>
    <w:rsid w:val="003364C7"/>
    <w:rsid w:val="00374B2E"/>
    <w:rsid w:val="00385CB7"/>
    <w:rsid w:val="00393652"/>
    <w:rsid w:val="003B62FF"/>
    <w:rsid w:val="003C70A0"/>
    <w:rsid w:val="003E65C0"/>
    <w:rsid w:val="003F11A1"/>
    <w:rsid w:val="00404E2C"/>
    <w:rsid w:val="0041671A"/>
    <w:rsid w:val="00422963"/>
    <w:rsid w:val="004337D1"/>
    <w:rsid w:val="00433A4C"/>
    <w:rsid w:val="0046427D"/>
    <w:rsid w:val="00472A61"/>
    <w:rsid w:val="0049377A"/>
    <w:rsid w:val="00496B16"/>
    <w:rsid w:val="004F3CB2"/>
    <w:rsid w:val="004F5FC7"/>
    <w:rsid w:val="00536A3C"/>
    <w:rsid w:val="00544886"/>
    <w:rsid w:val="00555EAA"/>
    <w:rsid w:val="00561728"/>
    <w:rsid w:val="00592152"/>
    <w:rsid w:val="005A5DB4"/>
    <w:rsid w:val="005E5B26"/>
    <w:rsid w:val="00605A25"/>
    <w:rsid w:val="00613B9A"/>
    <w:rsid w:val="00617E87"/>
    <w:rsid w:val="00626F69"/>
    <w:rsid w:val="00635B3B"/>
    <w:rsid w:val="00677A88"/>
    <w:rsid w:val="006965B9"/>
    <w:rsid w:val="0069761B"/>
    <w:rsid w:val="006A7A7E"/>
    <w:rsid w:val="006B4E50"/>
    <w:rsid w:val="0073241C"/>
    <w:rsid w:val="00737C20"/>
    <w:rsid w:val="00751864"/>
    <w:rsid w:val="0078655E"/>
    <w:rsid w:val="00790F20"/>
    <w:rsid w:val="007C355C"/>
    <w:rsid w:val="0083280A"/>
    <w:rsid w:val="00853745"/>
    <w:rsid w:val="00864CF3"/>
    <w:rsid w:val="008D0217"/>
    <w:rsid w:val="008E4B1E"/>
    <w:rsid w:val="00920A6F"/>
    <w:rsid w:val="0096281E"/>
    <w:rsid w:val="0099592E"/>
    <w:rsid w:val="00A15936"/>
    <w:rsid w:val="00A6313A"/>
    <w:rsid w:val="00AD7043"/>
    <w:rsid w:val="00B0414D"/>
    <w:rsid w:val="00BF22B7"/>
    <w:rsid w:val="00C35A3B"/>
    <w:rsid w:val="00C465AB"/>
    <w:rsid w:val="00C735A9"/>
    <w:rsid w:val="00C8482C"/>
    <w:rsid w:val="00C87878"/>
    <w:rsid w:val="00C941B1"/>
    <w:rsid w:val="00CA53B5"/>
    <w:rsid w:val="00CC5172"/>
    <w:rsid w:val="00D011C6"/>
    <w:rsid w:val="00D215DA"/>
    <w:rsid w:val="00D36EF4"/>
    <w:rsid w:val="00D41A1D"/>
    <w:rsid w:val="00D42C9D"/>
    <w:rsid w:val="00D46FE4"/>
    <w:rsid w:val="00DB5D44"/>
    <w:rsid w:val="00DD404A"/>
    <w:rsid w:val="00DD425D"/>
    <w:rsid w:val="00DD4F3D"/>
    <w:rsid w:val="00E00B7E"/>
    <w:rsid w:val="00E0291B"/>
    <w:rsid w:val="00E62E9C"/>
    <w:rsid w:val="00E62EEB"/>
    <w:rsid w:val="00E71F12"/>
    <w:rsid w:val="00E92D5A"/>
    <w:rsid w:val="00F232D5"/>
    <w:rsid w:val="00F4496F"/>
    <w:rsid w:val="00F92249"/>
    <w:rsid w:val="00FA7396"/>
    <w:rsid w:val="00FD1753"/>
    <w:rsid w:val="00FD3517"/>
    <w:rsid w:val="00FE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8A023F"/>
  <w15:chartTrackingRefBased/>
  <w15:docId w15:val="{DB089DC3-E738-42F6-8D6F-B941900F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1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133"/>
    <w:pPr>
      <w:ind w:left="720"/>
    </w:pPr>
  </w:style>
  <w:style w:type="paragraph" w:styleId="BalloonText">
    <w:name w:val="Balloon Text"/>
    <w:basedOn w:val="Normal"/>
    <w:link w:val="BalloonTextChar"/>
    <w:uiPriority w:val="99"/>
    <w:semiHidden/>
    <w:unhideWhenUsed/>
    <w:rsid w:val="000B11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33"/>
    <w:rPr>
      <w:rFonts w:ascii="Segoe UI" w:hAnsi="Segoe UI" w:cs="Segoe UI"/>
      <w:sz w:val="18"/>
      <w:szCs w:val="18"/>
    </w:rPr>
  </w:style>
  <w:style w:type="paragraph" w:styleId="Header">
    <w:name w:val="header"/>
    <w:basedOn w:val="Normal"/>
    <w:link w:val="HeaderChar"/>
    <w:unhideWhenUsed/>
    <w:rsid w:val="000B1133"/>
    <w:pPr>
      <w:tabs>
        <w:tab w:val="center" w:pos="4680"/>
        <w:tab w:val="right" w:pos="9360"/>
      </w:tabs>
    </w:pPr>
  </w:style>
  <w:style w:type="character" w:customStyle="1" w:styleId="HeaderChar">
    <w:name w:val="Header Char"/>
    <w:basedOn w:val="DefaultParagraphFont"/>
    <w:link w:val="Header"/>
    <w:uiPriority w:val="99"/>
    <w:rsid w:val="000B1133"/>
    <w:rPr>
      <w:rFonts w:ascii="Calibri" w:hAnsi="Calibri" w:cs="Calibri"/>
    </w:rPr>
  </w:style>
  <w:style w:type="paragraph" w:styleId="Footer">
    <w:name w:val="footer"/>
    <w:basedOn w:val="Normal"/>
    <w:link w:val="FooterChar"/>
    <w:uiPriority w:val="99"/>
    <w:unhideWhenUsed/>
    <w:rsid w:val="000B1133"/>
    <w:pPr>
      <w:tabs>
        <w:tab w:val="center" w:pos="4680"/>
        <w:tab w:val="right" w:pos="9360"/>
      </w:tabs>
    </w:pPr>
  </w:style>
  <w:style w:type="character" w:customStyle="1" w:styleId="FooterChar">
    <w:name w:val="Footer Char"/>
    <w:basedOn w:val="DefaultParagraphFont"/>
    <w:link w:val="Footer"/>
    <w:uiPriority w:val="99"/>
    <w:rsid w:val="000B1133"/>
    <w:rPr>
      <w:rFonts w:ascii="Calibri" w:hAnsi="Calibri" w:cs="Calibri"/>
    </w:rPr>
  </w:style>
  <w:style w:type="table" w:styleId="TableGrid">
    <w:name w:val="Table Grid"/>
    <w:basedOn w:val="TableNormal"/>
    <w:uiPriority w:val="59"/>
    <w:rsid w:val="008D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0217"/>
    <w:rPr>
      <w:color w:val="0000FF" w:themeColor="hyperlink"/>
      <w:u w:val="single"/>
    </w:rPr>
  </w:style>
  <w:style w:type="character" w:styleId="UnresolvedMention">
    <w:name w:val="Unresolved Mention"/>
    <w:basedOn w:val="DefaultParagraphFont"/>
    <w:uiPriority w:val="99"/>
    <w:semiHidden/>
    <w:unhideWhenUsed/>
    <w:rsid w:val="008D0217"/>
    <w:rPr>
      <w:color w:val="605E5C"/>
      <w:shd w:val="clear" w:color="auto" w:fill="E1DFDD"/>
    </w:rPr>
  </w:style>
  <w:style w:type="paragraph" w:customStyle="1" w:styleId="Discussion">
    <w:name w:val="Discussion"/>
    <w:basedOn w:val="Header"/>
    <w:rsid w:val="006B4E50"/>
    <w:pPr>
      <w:numPr>
        <w:numId w:val="3"/>
      </w:numPr>
      <w:tabs>
        <w:tab w:val="clear" w:pos="4680"/>
        <w:tab w:val="clear" w:pos="9360"/>
      </w:tabs>
      <w:spacing w:after="120"/>
    </w:pPr>
    <w:rPr>
      <w:rFonts w:ascii="Arial" w:eastAsia="Times New Roman" w:hAnsi="Arial" w:cs="Times New Roman"/>
      <w:sz w:val="18"/>
      <w:szCs w:val="20"/>
    </w:rPr>
  </w:style>
  <w:style w:type="character" w:styleId="CommentReference">
    <w:name w:val="annotation reference"/>
    <w:semiHidden/>
    <w:rsid w:val="006B4E50"/>
    <w:rPr>
      <w:sz w:val="16"/>
    </w:rPr>
  </w:style>
  <w:style w:type="paragraph" w:styleId="CommentText">
    <w:name w:val="annotation text"/>
    <w:basedOn w:val="Normal"/>
    <w:link w:val="CommentTextChar"/>
    <w:semiHidden/>
    <w:rsid w:val="006B4E50"/>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B4E50"/>
    <w:rPr>
      <w:rFonts w:ascii="Times New Roman" w:eastAsia="Times New Roman" w:hAnsi="Times New Roman" w:cs="Times New Roman"/>
      <w:sz w:val="20"/>
      <w:szCs w:val="20"/>
    </w:rPr>
  </w:style>
  <w:style w:type="paragraph" w:customStyle="1" w:styleId="TableText">
    <w:name w:val="Table Text"/>
    <w:basedOn w:val="Normal"/>
    <w:rsid w:val="006B4E50"/>
    <w:rPr>
      <w:rFonts w:ascii="Arial" w:eastAsia="Times New Roman" w:hAnsi="Arial" w:cs="Times New Roman"/>
      <w:sz w:val="18"/>
      <w:szCs w:val="20"/>
    </w:rPr>
  </w:style>
  <w:style w:type="paragraph" w:styleId="CommentSubject">
    <w:name w:val="annotation subject"/>
    <w:basedOn w:val="CommentText"/>
    <w:next w:val="CommentText"/>
    <w:link w:val="CommentSubjectChar"/>
    <w:uiPriority w:val="99"/>
    <w:semiHidden/>
    <w:unhideWhenUsed/>
    <w:rsid w:val="00C8482C"/>
    <w:rPr>
      <w:rFonts w:ascii="Calibri" w:eastAsiaTheme="minorHAnsi" w:hAnsi="Calibri" w:cs="Calibri"/>
      <w:b/>
      <w:bCs/>
    </w:rPr>
  </w:style>
  <w:style w:type="character" w:customStyle="1" w:styleId="CommentSubjectChar">
    <w:name w:val="Comment Subject Char"/>
    <w:basedOn w:val="CommentTextChar"/>
    <w:link w:val="CommentSubject"/>
    <w:uiPriority w:val="99"/>
    <w:semiHidden/>
    <w:rsid w:val="00C8482C"/>
    <w:rPr>
      <w:rFonts w:ascii="Calibri" w:eastAsia="Times New Roman" w:hAnsi="Calibri" w:cs="Calibri"/>
      <w:b/>
      <w:bCs/>
      <w:sz w:val="20"/>
      <w:szCs w:val="20"/>
    </w:rPr>
  </w:style>
  <w:style w:type="character" w:styleId="FollowedHyperlink">
    <w:name w:val="FollowedHyperlink"/>
    <w:basedOn w:val="DefaultParagraphFont"/>
    <w:uiPriority w:val="99"/>
    <w:semiHidden/>
    <w:unhideWhenUsed/>
    <w:rsid w:val="00C465AB"/>
    <w:rPr>
      <w:color w:val="800080" w:themeColor="followedHyperlink"/>
      <w:u w:val="single"/>
    </w:rPr>
  </w:style>
  <w:style w:type="paragraph" w:styleId="Revision">
    <w:name w:val="Revision"/>
    <w:hidden/>
    <w:uiPriority w:val="99"/>
    <w:semiHidden/>
    <w:rsid w:val="005E5B2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15271">
      <w:bodyDiv w:val="1"/>
      <w:marLeft w:val="0"/>
      <w:marRight w:val="0"/>
      <w:marTop w:val="0"/>
      <w:marBottom w:val="0"/>
      <w:divBdr>
        <w:top w:val="none" w:sz="0" w:space="0" w:color="auto"/>
        <w:left w:val="none" w:sz="0" w:space="0" w:color="auto"/>
        <w:bottom w:val="none" w:sz="0" w:space="0" w:color="auto"/>
        <w:right w:val="none" w:sz="0" w:space="0" w:color="auto"/>
      </w:divBdr>
    </w:div>
    <w:div w:id="209462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k.reeves@metlife.com" TargetMode="External"/><Relationship Id="rId13" Type="http://schemas.openxmlformats.org/officeDocument/2006/relationships/hyperlink" Target="mailto:jacob.gott1@metlif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mankunas1@metlife.com"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ruz1@metlife.com" TargetMode="External"/><Relationship Id="rId5" Type="http://schemas.openxmlformats.org/officeDocument/2006/relationships/webSettings" Target="webSettings.xml"/><Relationship Id="rId15" Type="http://schemas.openxmlformats.org/officeDocument/2006/relationships/hyperlink" Target="mailto:builds@gisbenefits.net" TargetMode="External"/><Relationship Id="rId10" Type="http://schemas.openxmlformats.org/officeDocument/2006/relationships/hyperlink" Target="mailto:aday@metlife.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higgins@metlife.com" TargetMode="External"/><Relationship Id="rId14" Type="http://schemas.openxmlformats.org/officeDocument/2006/relationships/hyperlink" Target="mailto:biz@ea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8FD86-18C0-461B-B4FE-93C78917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5101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Angela</dc:creator>
  <cp:keywords/>
  <dc:description/>
  <cp:lastModifiedBy>Jones, Gary</cp:lastModifiedBy>
  <cp:revision>2</cp:revision>
  <cp:lastPrinted>2020-07-31T21:26:00Z</cp:lastPrinted>
  <dcterms:created xsi:type="dcterms:W3CDTF">2023-04-03T20:52:00Z</dcterms:created>
  <dcterms:modified xsi:type="dcterms:W3CDTF">2023-04-03T20:52:00Z</dcterms:modified>
</cp:coreProperties>
</file>